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0F258" w14:textId="77777777" w:rsidR="00FC0A09" w:rsidRPr="00F45F55" w:rsidRDefault="00621EC0" w:rsidP="00F45F55">
      <w:pPr>
        <w:pStyle w:val="Heading2"/>
        <w:rPr>
          <w:sz w:val="32"/>
          <w:szCs w:val="32"/>
        </w:rPr>
      </w:pPr>
      <w:r w:rsidRPr="00F45F55">
        <w:rPr>
          <w:sz w:val="32"/>
          <w:szCs w:val="32"/>
        </w:rPr>
        <w:t>EPILOGUE</w:t>
      </w:r>
    </w:p>
    <w:p w14:paraId="6CAE0BEF" w14:textId="77777777" w:rsidR="00621EC0" w:rsidRDefault="00621EC0" w:rsidP="00BE5D62">
      <w:pPr>
        <w:spacing w:line="480" w:lineRule="auto"/>
      </w:pPr>
    </w:p>
    <w:p w14:paraId="61761914" w14:textId="54524CE5" w:rsidR="00837BCF" w:rsidRPr="00F45F55" w:rsidRDefault="00837BCF" w:rsidP="00F45F55">
      <w:pPr>
        <w:pStyle w:val="Heading1"/>
        <w:rPr>
          <w:i/>
        </w:rPr>
      </w:pPr>
      <w:r w:rsidRPr="00F45F55">
        <w:rPr>
          <w:i/>
        </w:rPr>
        <w:t>I didn’t think it would end like this…</w:t>
      </w:r>
    </w:p>
    <w:p w14:paraId="27469B54" w14:textId="77777777" w:rsidR="00837BCF" w:rsidRDefault="00837BCF" w:rsidP="00BE5D62">
      <w:pPr>
        <w:spacing w:line="480" w:lineRule="auto"/>
      </w:pPr>
    </w:p>
    <w:p w14:paraId="6C0CB44D" w14:textId="5C9EFB69" w:rsidR="00621EC0" w:rsidRDefault="00621EC0" w:rsidP="00BE5D62">
      <w:pPr>
        <w:spacing w:line="480" w:lineRule="auto"/>
      </w:pPr>
      <w:r>
        <w:t>At the start of this book, I commented that there is no conclusion to the sociology of Scotland; hence, this epilogue</w:t>
      </w:r>
      <w:r w:rsidR="00BB3380">
        <w:t xml:space="preserve">, a theatrical device to allow the author to </w:t>
      </w:r>
      <w:bookmarkStart w:id="0" w:name="_GoBack"/>
      <w:bookmarkEnd w:id="0"/>
      <w:r w:rsidR="00BB3380">
        <w:t>address the audience directly</w:t>
      </w:r>
      <w:r>
        <w:t>. Its point is to stand back and ponder how far we have come, as a society as well as a sociology. Tom Burns, the first professor of Sociology at a Scottish university, was fond of saying that ‘society’ was much more interesting than ‘sociology’. By that he meant that trying to make sense of the world around us was much richer and more rewarding than contemplating our disciplinary navels. Sociology, he would say, is only useful if it turns handles to help us make sense of society. Perhaps sociology has become too self-reflexive and concerned with internal debates, and insufficiently interested in the world ‘out there’. That is for others to judge</w:t>
      </w:r>
      <w:r w:rsidR="00D317D3">
        <w:t>, and beyond the scope of this book</w:t>
      </w:r>
      <w:r>
        <w:t xml:space="preserve">. The task </w:t>
      </w:r>
      <w:r w:rsidR="00D317D3">
        <w:t>here</w:t>
      </w:r>
      <w:r>
        <w:t xml:space="preserve"> has been to make sense of Scotland in sociological terms. There is little point in being precious about it, for the boundaries between history, politics, social anthropology and cultural studies are properly fluid </w:t>
      </w:r>
      <w:r w:rsidR="00D317D3">
        <w:t xml:space="preserve">such </w:t>
      </w:r>
      <w:r>
        <w:t xml:space="preserve">that influences flow from one to the other. Trying to make sense of Scotland </w:t>
      </w:r>
      <w:r w:rsidR="00E06E65">
        <w:t xml:space="preserve">in the round </w:t>
      </w:r>
      <w:r w:rsidR="008F3BAB">
        <w:t>requires that.</w:t>
      </w:r>
      <w:r w:rsidR="009401B1">
        <w:t xml:space="preserve"> A Scottish way of doing sociology deals in the language of universals while doing so in the grammar of the particular. </w:t>
      </w:r>
    </w:p>
    <w:p w14:paraId="4699AC8F" w14:textId="77777777" w:rsidR="008F3BAB" w:rsidRDefault="008F3BAB" w:rsidP="00BE5D62">
      <w:pPr>
        <w:spacing w:line="480" w:lineRule="auto"/>
      </w:pPr>
    </w:p>
    <w:p w14:paraId="3E6DDE24" w14:textId="423AA249" w:rsidR="00CC7E50" w:rsidRDefault="00C51482" w:rsidP="00BE5D62">
      <w:pPr>
        <w:spacing w:line="480" w:lineRule="auto"/>
      </w:pPr>
      <w:r>
        <w:t xml:space="preserve">The emergence of sociology at Scottish universities has coincided with the rising salience of ‘Scotland’ as an object of social, political and cultural study. Manifestly, this is in large part due to ‘political’ events. The period between 1975 </w:t>
      </w:r>
      <w:r>
        <w:lastRenderedPageBreak/>
        <w:t xml:space="preserve">and 2015 has seen unprecedented change in Scotland, and the wider UK of which it is currently part. </w:t>
      </w:r>
      <w:r w:rsidR="008F3BAB">
        <w:t>That forty-year period crystalised and made overt deeper and longstanding developments, notably between Scotland and England. The most obvious changes have been political, in the sense that the recovery of a parliament, the growing divergence in electoral behaviour no</w:t>
      </w:r>
      <w:r w:rsidR="00D317D3">
        <w:t>rth and south of the border has</w:t>
      </w:r>
      <w:r w:rsidR="008F3BAB">
        <w:t xml:space="preserve"> been its obvious manifestation. </w:t>
      </w:r>
    </w:p>
    <w:p w14:paraId="5E70A136" w14:textId="77777777" w:rsidR="00D317D3" w:rsidRDefault="00D317D3" w:rsidP="00BE5D62">
      <w:pPr>
        <w:spacing w:line="480" w:lineRule="auto"/>
      </w:pPr>
    </w:p>
    <w:p w14:paraId="60893C54" w14:textId="0BDC51DD" w:rsidR="00BF2E6B" w:rsidRDefault="00BF2E6B" w:rsidP="00BE5D62">
      <w:pPr>
        <w:pStyle w:val="Heading2"/>
        <w:spacing w:line="480" w:lineRule="auto"/>
      </w:pPr>
      <w:r>
        <w:t>Emerging Scotland</w:t>
      </w:r>
    </w:p>
    <w:p w14:paraId="1E3D3B9E" w14:textId="77777777" w:rsidR="00BF2E6B" w:rsidRPr="00BF2E6B" w:rsidRDefault="00BF2E6B" w:rsidP="00BE5D62">
      <w:pPr>
        <w:spacing w:line="480" w:lineRule="auto"/>
      </w:pPr>
    </w:p>
    <w:p w14:paraId="3C81EB53" w14:textId="3B54D5AD" w:rsidR="00D317D3" w:rsidRDefault="008F3BAB" w:rsidP="00BE5D62">
      <w:pPr>
        <w:spacing w:line="480" w:lineRule="auto"/>
      </w:pPr>
      <w:r>
        <w:t xml:space="preserve">So how are we to account, in sociological terms, for </w:t>
      </w:r>
      <w:r w:rsidR="006D150A">
        <w:t xml:space="preserve">these changes? How do we set them in sociological context? It matters that for most of the history of the past millennium Scotland was an independent state. </w:t>
      </w:r>
      <w:r w:rsidR="00BB3380">
        <w:t>To say that</w:t>
      </w:r>
      <w:r w:rsidR="006D150A">
        <w:t xml:space="preserve"> does not imply that becoming independent once more is inevitable, nor that the state of independence in the 21</w:t>
      </w:r>
      <w:r w:rsidR="006D150A" w:rsidRPr="006D150A">
        <w:rPr>
          <w:vertAlign w:val="superscript"/>
        </w:rPr>
        <w:t>st</w:t>
      </w:r>
      <w:r w:rsidR="006D150A">
        <w:t xml:space="preserve"> century </w:t>
      </w:r>
      <w:r w:rsidR="00D317D3">
        <w:t>will revert back to its 18</w:t>
      </w:r>
      <w:r w:rsidR="00D317D3" w:rsidRPr="00D317D3">
        <w:rPr>
          <w:vertAlign w:val="superscript"/>
        </w:rPr>
        <w:t>th</w:t>
      </w:r>
      <w:r w:rsidR="00D317D3">
        <w:t xml:space="preserve"> century</w:t>
      </w:r>
      <w:r w:rsidR="006D150A">
        <w:t xml:space="preserve"> condition. However, thinking of Scotland </w:t>
      </w:r>
      <w:r w:rsidR="002E299E">
        <w:t>as an independent state</w:t>
      </w:r>
      <w:r w:rsidR="006D150A">
        <w:t xml:space="preserve"> does not require a great leap of the imagination. Arguably, the historical precedent of an independent Scotland in these islands distinguishes it from Wales. That helps to make the point that ‘understanding Scotland’ can only be done in comparative terms, and specifically in the context of </w:t>
      </w:r>
      <w:r w:rsidR="00D35763">
        <w:t xml:space="preserve">neighbourly relations around the Union of 1707. That Union, a significant development of the Regal Union of 1603, yoked Scotland and England (and by default Wales and Ireland) into a marriage of convenience. </w:t>
      </w:r>
    </w:p>
    <w:p w14:paraId="73D8DF8A" w14:textId="77777777" w:rsidR="00D317D3" w:rsidRDefault="00D317D3" w:rsidP="00BE5D62">
      <w:pPr>
        <w:spacing w:line="480" w:lineRule="auto"/>
      </w:pPr>
    </w:p>
    <w:p w14:paraId="3C616BAB" w14:textId="5B7380B2" w:rsidR="008F3BAB" w:rsidRDefault="00D35763" w:rsidP="00BE5D62">
      <w:pPr>
        <w:spacing w:line="480" w:lineRule="auto"/>
      </w:pPr>
      <w:r>
        <w:t xml:space="preserve">In his book </w:t>
      </w:r>
      <w:r w:rsidRPr="00D35763">
        <w:rPr>
          <w:i/>
        </w:rPr>
        <w:t>Independence or Union</w:t>
      </w:r>
      <w:r w:rsidR="00D317D3">
        <w:t xml:space="preserve"> (2015), Tom Devine commented</w:t>
      </w:r>
      <w:r>
        <w:t>: ‘In general, the birth of Great Britain was greeted with muted indifference north of the border. It was not a happy portent for the future’ (2015: 4). That was then, and this is now, but history matters. We might argue that bribery and corruption brought the Union about, but it had a major pay-off for Scotland. Devine again: ‘… there is broad historiographical agreement today that union was a necessary precondition for Scottish economic growth but not in itself sufficient to guarantee that it would happen’ (op. cit: 50). The savagely racist caricatures in the 1760s in which Scots were portrayed as ‘greedy mendicants growing rich on England’s rich pastures’ (54) were a sign of Scottish success, not failure. Scots took to the opportunities of Union</w:t>
      </w:r>
      <w:r w:rsidR="00D83409">
        <w:t xml:space="preserve"> </w:t>
      </w:r>
      <w:r>
        <w:t>with enthusiasm</w:t>
      </w:r>
      <w:r w:rsidR="00D83409">
        <w:t>, for transatlantic trade was unthinkable without the Union. And</w:t>
      </w:r>
      <w:r w:rsidR="00D317D3">
        <w:t xml:space="preserve"> not simply transatlantic trade:</w:t>
      </w:r>
      <w:r w:rsidR="00D83409">
        <w:t xml:space="preserve"> ‘In the decades after the Union streams of eager Caledonians from genteel but impoverished backgrounds poured into the British empire at every point from the Arctic wastes of Canada to the teeming cities and plains of Bengal</w:t>
      </w:r>
      <w:r w:rsidR="0076533C">
        <w:t>’</w:t>
      </w:r>
      <w:r w:rsidR="00D83409">
        <w:t xml:space="preserve"> (Devine, 2015: 70).</w:t>
      </w:r>
      <w:r>
        <w:t xml:space="preserve"> </w:t>
      </w:r>
    </w:p>
    <w:p w14:paraId="24766814" w14:textId="77777777" w:rsidR="00AB2991" w:rsidRDefault="00AB2991" w:rsidP="00BE5D62">
      <w:pPr>
        <w:spacing w:line="480" w:lineRule="auto"/>
      </w:pPr>
    </w:p>
    <w:p w14:paraId="1A9BA4E5" w14:textId="6011AB66" w:rsidR="0024562F" w:rsidRDefault="0024562F" w:rsidP="00BE5D62">
      <w:pPr>
        <w:pStyle w:val="Heading2"/>
        <w:spacing w:line="480" w:lineRule="auto"/>
      </w:pPr>
      <w:r>
        <w:t>Severing Sinews</w:t>
      </w:r>
    </w:p>
    <w:p w14:paraId="20E94977" w14:textId="77777777" w:rsidR="0024562F" w:rsidRPr="0024562F" w:rsidRDefault="0024562F" w:rsidP="00BE5D62">
      <w:pPr>
        <w:spacing w:line="480" w:lineRule="auto"/>
      </w:pPr>
    </w:p>
    <w:p w14:paraId="644D6A70" w14:textId="0B017EFD" w:rsidR="00AB2991" w:rsidRDefault="00D83409" w:rsidP="00BE5D62">
      <w:pPr>
        <w:spacing w:line="480" w:lineRule="auto"/>
      </w:pPr>
      <w:r>
        <w:t xml:space="preserve">The Union ‘worked’, but it remained a marriage of convenience, a </w:t>
      </w:r>
      <w:r w:rsidRPr="00D83409">
        <w:rPr>
          <w:i/>
        </w:rPr>
        <w:t>mariage de raison</w:t>
      </w:r>
      <w:r w:rsidR="0076533C">
        <w:rPr>
          <w:i/>
        </w:rPr>
        <w:t>,</w:t>
      </w:r>
      <w:r w:rsidR="0076533C">
        <w:t xml:space="preserve"> as the French would say</w:t>
      </w:r>
      <w:r>
        <w:t>, given that indigenous institutions of governance - law, religion, local state functions</w:t>
      </w:r>
      <w:r w:rsidR="002E299E">
        <w:t>, what are called ‘low’ politics</w:t>
      </w:r>
      <w:r>
        <w:t xml:space="preserve"> – remained </w:t>
      </w:r>
      <w:r w:rsidR="0076533C">
        <w:t>autonomous</w:t>
      </w:r>
      <w:r>
        <w:t xml:space="preserve">; having your cake and eating it, as it were. That lack of enthusiasm for Union which Devine spoke of, seeing it as a device for economic and political aggrandisement, was bound to wane as the British fiscal-military state began to decay. </w:t>
      </w:r>
      <w:r w:rsidR="00AB2991">
        <w:t xml:space="preserve">It may have seemed to many English people profound ingratitude, but Scots saw in Union a means to an end, and by the 20th century, as the bargain seemed less so, the sinews of state </w:t>
      </w:r>
      <w:r w:rsidR="0076533C">
        <w:t>began to weaken</w:t>
      </w:r>
      <w:r w:rsidR="00AB2991">
        <w:t xml:space="preserve">. </w:t>
      </w:r>
    </w:p>
    <w:p w14:paraId="5E816116" w14:textId="77777777" w:rsidR="00AB2991" w:rsidRDefault="00AB2991" w:rsidP="00BE5D62">
      <w:pPr>
        <w:spacing w:line="480" w:lineRule="auto"/>
      </w:pPr>
    </w:p>
    <w:p w14:paraId="76403A9B" w14:textId="6C90CD09" w:rsidR="00EA31DC" w:rsidRDefault="00AB2991" w:rsidP="00BE5D62">
      <w:pPr>
        <w:spacing w:line="480" w:lineRule="auto"/>
      </w:pPr>
      <w:r>
        <w:t>Two further institutions bound Scots to that Union: religion and war. To be sure, Scots did not embrace the English church, but securing Presbyteria</w:t>
      </w:r>
      <w:r w:rsidR="0076533C">
        <w:t>nism within the Treaty of Union</w:t>
      </w:r>
      <w:r>
        <w:t xml:space="preserve"> removed a potent source of constitutional opposition. The British union state held because Scots had considerable autonomy over things which mattered to them, including their ways of worship. War was also significant because it bound the Scots into the imperial war machine, and granted them pride of place in </w:t>
      </w:r>
      <w:r w:rsidR="0076533C">
        <w:t>many</w:t>
      </w:r>
      <w:r>
        <w:t xml:space="preserve"> military campaigns. General Wolfe’s alleged comment </w:t>
      </w:r>
      <w:r w:rsidR="00D00E1E">
        <w:t>in the 18</w:t>
      </w:r>
      <w:r w:rsidR="00D00E1E" w:rsidRPr="00D00E1E">
        <w:rPr>
          <w:vertAlign w:val="superscript"/>
        </w:rPr>
        <w:t>th</w:t>
      </w:r>
      <w:r w:rsidR="00D00E1E">
        <w:t xml:space="preserve"> century</w:t>
      </w:r>
      <w:r>
        <w:t xml:space="preserve"> that it was ‘no great mischief’ if the Scottish regiments suffered untoward casualties, did not breed resentment but pride</w:t>
      </w:r>
      <w:r w:rsidR="002E299E">
        <w:rPr>
          <w:rStyle w:val="FootnoteReference"/>
        </w:rPr>
        <w:footnoteReference w:id="1"/>
      </w:r>
      <w:r>
        <w:t xml:space="preserve">. </w:t>
      </w:r>
      <w:r w:rsidR="00EA31DC">
        <w:t xml:space="preserve">The iconography of the Scottish soldier became a key element of national(ist) identity. The National Theatre’s play </w:t>
      </w:r>
      <w:r w:rsidR="00EA31DC" w:rsidRPr="0076533C">
        <w:rPr>
          <w:i/>
        </w:rPr>
        <w:t>Black Watch</w:t>
      </w:r>
      <w:r w:rsidR="00EA31DC">
        <w:t xml:space="preserve"> in </w:t>
      </w:r>
      <w:r w:rsidR="00D00E1E">
        <w:t>2006</w:t>
      </w:r>
      <w:r w:rsidR="00EA31DC">
        <w:t xml:space="preserve"> was testament to that. Almost by stealth, The </w:t>
      </w:r>
      <w:r w:rsidR="00D00E1E">
        <w:t xml:space="preserve">Royal </w:t>
      </w:r>
      <w:r w:rsidR="00EA31DC" w:rsidRPr="00D00E1E">
        <w:t>Regiment of Scotland</w:t>
      </w:r>
      <w:r w:rsidR="00EA31DC">
        <w:t xml:space="preserve"> </w:t>
      </w:r>
      <w:r w:rsidR="00D00E1E">
        <w:t xml:space="preserve">(2004) </w:t>
      </w:r>
      <w:r w:rsidR="00EA31DC">
        <w:t xml:space="preserve">created a Scottish army, and one of the institutions of Union, the military, was ‘nationalised’.  </w:t>
      </w:r>
    </w:p>
    <w:p w14:paraId="4C0D425E" w14:textId="77777777" w:rsidR="00864B52" w:rsidRDefault="00864B52" w:rsidP="00BE5D62">
      <w:pPr>
        <w:spacing w:line="480" w:lineRule="auto"/>
      </w:pPr>
    </w:p>
    <w:p w14:paraId="33B7E50B" w14:textId="0F9703D5" w:rsidR="00864B52" w:rsidRDefault="00864B52" w:rsidP="00BE5D62">
      <w:pPr>
        <w:spacing w:line="480" w:lineRule="auto"/>
      </w:pPr>
      <w:r>
        <w:t>Religion, warfare, welfare. The creation of the post-war welfare state in 1945 was the third sinew which bound Scotland into the Union. It generated a politics of economics and of class, and Scottish and English electoral behaviour was virtually identical</w:t>
      </w:r>
      <w:r w:rsidR="00D317D3">
        <w:t xml:space="preserve"> for the next decade</w:t>
      </w:r>
      <w:r>
        <w:t>. Reflecting that, the Labour party dropped its commitment to Home Rule in 1950</w:t>
      </w:r>
      <w:r w:rsidR="00FD02B0">
        <w:t>, and the Scottish conference of the Labour party wi</w:t>
      </w:r>
      <w:r w:rsidR="0076533C">
        <w:t>thdrew support at the end of that</w:t>
      </w:r>
      <w:r w:rsidR="00FD02B0">
        <w:t xml:space="preserve"> decade. The Scots were British, or so it seemed. </w:t>
      </w:r>
    </w:p>
    <w:p w14:paraId="562705C0" w14:textId="77777777" w:rsidR="00FD02B0" w:rsidRDefault="00FD02B0" w:rsidP="00BE5D62">
      <w:pPr>
        <w:spacing w:line="480" w:lineRule="auto"/>
      </w:pPr>
    </w:p>
    <w:p w14:paraId="590439FB" w14:textId="77777777" w:rsidR="007A113D" w:rsidRDefault="00FD02B0" w:rsidP="00BE5D62">
      <w:pPr>
        <w:spacing w:line="480" w:lineRule="auto"/>
      </w:pPr>
      <w:r>
        <w:t xml:space="preserve">But all was not what it seemed. The transformation of the Scottish economy, the desperate attempts to stem the tide of emigration, to restructure the Scottish economy, had created a political-economic infrastructure with the Scottish Office at its heart. A Scottish frame of reference, which in any case had never gone away, was reinforced, this time in economic rather than cultural terms. Or rather, periodic cultural revivals such as that in the 1920s and 1930s, and again in the post-war period, helped to underpin </w:t>
      </w:r>
      <w:r w:rsidR="007A113D">
        <w:t xml:space="preserve">and give expression to </w:t>
      </w:r>
      <w:r>
        <w:t xml:space="preserve">Scottish difference. </w:t>
      </w:r>
    </w:p>
    <w:p w14:paraId="07C841EF" w14:textId="77777777" w:rsidR="007A113D" w:rsidRDefault="007A113D" w:rsidP="00BE5D62">
      <w:pPr>
        <w:spacing w:line="480" w:lineRule="auto"/>
      </w:pPr>
    </w:p>
    <w:p w14:paraId="4A3A4C47" w14:textId="7183A76C" w:rsidR="00CD122A" w:rsidRDefault="00FD02B0" w:rsidP="00BE5D62">
      <w:pPr>
        <w:spacing w:line="480" w:lineRule="auto"/>
      </w:pPr>
      <w:r>
        <w:t xml:space="preserve">This was not overtly ‘political’, but the focus on Scottish matters </w:t>
      </w:r>
      <w:r w:rsidR="00D00E1E">
        <w:t>insinuated</w:t>
      </w:r>
      <w:r>
        <w:t xml:space="preserve"> into electoral politics slowly but surely. But above all, it was the weakening of the</w:t>
      </w:r>
      <w:r w:rsidR="007A113D">
        <w:t xml:space="preserve"> sinews which held Scotland in</w:t>
      </w:r>
      <w:r>
        <w:t xml:space="preserve"> the Union which made the difference. </w:t>
      </w:r>
      <w:r w:rsidR="00D317D3">
        <w:t xml:space="preserve">The Union simply could not hold </w:t>
      </w:r>
      <w:r w:rsidR="007A113D">
        <w:t xml:space="preserve">if it were </w:t>
      </w:r>
      <w:r w:rsidR="00D317D3">
        <w:t xml:space="preserve">based on sentiment alone. </w:t>
      </w:r>
      <w:r>
        <w:t>Presbyterianism, made safe for and by the Union, lost its cultural force in a secular age. Warfare was not required in the long period of economic prosperity and rising living standards –</w:t>
      </w:r>
      <w:r w:rsidR="00D00E1E">
        <w:t xml:space="preserve"> what the French called</w:t>
      </w:r>
      <w:r>
        <w:t xml:space="preserve"> </w:t>
      </w:r>
      <w:r w:rsidRPr="00CD122A">
        <w:rPr>
          <w:i/>
        </w:rPr>
        <w:t>les Trente Glorieuse</w:t>
      </w:r>
      <w:r w:rsidR="00D00E1E">
        <w:rPr>
          <w:i/>
        </w:rPr>
        <w:t>s</w:t>
      </w:r>
      <w:r>
        <w:t xml:space="preserve">. </w:t>
      </w:r>
    </w:p>
    <w:p w14:paraId="75EC2435" w14:textId="77777777" w:rsidR="00CD122A" w:rsidRDefault="00CD122A" w:rsidP="00BE5D62">
      <w:pPr>
        <w:spacing w:line="480" w:lineRule="auto"/>
      </w:pPr>
    </w:p>
    <w:p w14:paraId="5774DF68" w14:textId="22722583" w:rsidR="00FD02B0" w:rsidRDefault="00FD02B0" w:rsidP="00BE5D62">
      <w:pPr>
        <w:spacing w:line="480" w:lineRule="auto"/>
      </w:pPr>
      <w:r>
        <w:t>Imperceptibly, the Union, which in any case had been a ‘convenience’</w:t>
      </w:r>
      <w:r w:rsidR="00CD122A">
        <w:t xml:space="preserve"> came to matter less. The British state never quite ‘got’ the Union; its </w:t>
      </w:r>
      <w:r w:rsidR="00CD122A" w:rsidRPr="00CD122A">
        <w:rPr>
          <w:i/>
        </w:rPr>
        <w:t>mentalit</w:t>
      </w:r>
      <w:r w:rsidR="00CD122A" w:rsidRPr="00CD122A">
        <w:rPr>
          <w:rFonts w:ascii="Cambria" w:hAnsi="Cambria"/>
          <w:i/>
        </w:rPr>
        <w:t>é</w:t>
      </w:r>
      <w:r w:rsidR="00CD122A">
        <w:t xml:space="preserve"> was always centralist if </w:t>
      </w:r>
      <w:r w:rsidR="00D317D3">
        <w:t xml:space="preserve">usually </w:t>
      </w:r>
      <w:r w:rsidR="00CD122A">
        <w:t xml:space="preserve">benign. Institutions like the BBC did not know quite what to make of Scotland: </w:t>
      </w:r>
      <w:r w:rsidR="0024562F">
        <w:t xml:space="preserve">it came up with an oxymoron, that Scotland was </w:t>
      </w:r>
      <w:r w:rsidR="00CD122A">
        <w:t>a ‘national region’. Perhaps because the UK had never been transformed into a federal state, which would have married federalism and multi-nationalism, it lost opportunities to restructure Britain. The defeat of ‘Home Rule all round’ in the 1880s</w:t>
      </w:r>
      <w:r w:rsidR="00D317D3">
        <w:t xml:space="preserve"> and </w:t>
      </w:r>
      <w:r w:rsidR="007A113D">
        <w:t xml:space="preserve">again </w:t>
      </w:r>
      <w:r w:rsidR="00D317D3">
        <w:t>before the Great War</w:t>
      </w:r>
      <w:r w:rsidR="00CD122A">
        <w:t xml:space="preserve">, the departure of most of Ireland in 1921, the reinforcing of democratic centralism in 1945, failed to notice Scotland’s glacial slide away from the union state. </w:t>
      </w:r>
    </w:p>
    <w:p w14:paraId="5AD16899" w14:textId="77777777" w:rsidR="00CD122A" w:rsidRDefault="00CD122A" w:rsidP="00BE5D62">
      <w:pPr>
        <w:spacing w:line="480" w:lineRule="auto"/>
      </w:pPr>
    </w:p>
    <w:p w14:paraId="4A094F2D" w14:textId="5B44A563" w:rsidR="00CD122A" w:rsidRDefault="00CD122A" w:rsidP="00BE5D62">
      <w:pPr>
        <w:spacing w:line="480" w:lineRule="auto"/>
      </w:pPr>
      <w:r>
        <w:t>Political voice came with the sudden rise of the Scottish National Party in the 1970s</w:t>
      </w:r>
      <w:r w:rsidR="003E627B">
        <w:t xml:space="preserve">, and Labour in particular scrambled to recover its commitment to Home Rule. Too little, too late. The discovery of oil in the North Sea helped to change the political psychology of Scotland </w:t>
      </w:r>
      <w:r w:rsidR="007A113D">
        <w:t>allowing</w:t>
      </w:r>
      <w:r w:rsidR="003E627B">
        <w:t xml:space="preserve"> an alternative economic future </w:t>
      </w:r>
      <w:r w:rsidR="007A113D">
        <w:t>to</w:t>
      </w:r>
      <w:r w:rsidR="003E627B">
        <w:t xml:space="preserve"> be imagined. All the while, the Scottish Office sought to reassert its legitimacy, but from as early as the mid-1950s it had become obvious that Scotland and England danced to different political tunes. A Scottish Assembly might just have held in 1979, but it was swept away by an incoming Conservative government intent on holding the Union line. Its leader Mrs Thatcher told one of her Scottish acolytes, Michael Ancrum, ‘Michael, I am an English nationalist</w:t>
      </w:r>
      <w:r w:rsidR="00BA327A">
        <w:t xml:space="preserve"> and never you forget it</w:t>
      </w:r>
      <w:r w:rsidR="003E627B">
        <w:t>’</w:t>
      </w:r>
      <w:r w:rsidR="00BA327A">
        <w:rPr>
          <w:rStyle w:val="FootnoteReference"/>
        </w:rPr>
        <w:footnoteReference w:id="2"/>
      </w:r>
      <w:r w:rsidR="00BA327A">
        <w:t xml:space="preserve">. </w:t>
      </w:r>
    </w:p>
    <w:p w14:paraId="6C253C6A" w14:textId="77777777" w:rsidR="00C01B3B" w:rsidRDefault="00C01B3B" w:rsidP="00BE5D62">
      <w:pPr>
        <w:spacing w:line="480" w:lineRule="auto"/>
      </w:pPr>
    </w:p>
    <w:p w14:paraId="6B8B9C5A" w14:textId="0F929AE3" w:rsidR="00C01B3B" w:rsidRDefault="00C01B3B" w:rsidP="00BE5D62">
      <w:pPr>
        <w:spacing w:line="480" w:lineRule="auto"/>
      </w:pPr>
      <w:r>
        <w:t>Magaret Thatcher turned out, unwittingly, to be the recruiting sergeant</w:t>
      </w:r>
      <w:r w:rsidR="00D317D3">
        <w:t>, or</w:t>
      </w:r>
      <w:r w:rsidR="00E724BE">
        <w:t>,</w:t>
      </w:r>
      <w:r w:rsidR="00D317D3">
        <w:t xml:space="preserve"> </w:t>
      </w:r>
      <w:r w:rsidR="00E724BE">
        <w:t>to change the metaphor,</w:t>
      </w:r>
      <w:r w:rsidR="00D317D3">
        <w:t xml:space="preserve"> the midwife of </w:t>
      </w:r>
      <w:r>
        <w:t>Scottish Home Rule</w:t>
      </w:r>
      <w:r w:rsidR="00D317D3">
        <w:t>. Her</w:t>
      </w:r>
      <w:r>
        <w:t xml:space="preserve"> long reign was swept away </w:t>
      </w:r>
      <w:r w:rsidR="00BA327A">
        <w:t xml:space="preserve">in 1990 </w:t>
      </w:r>
      <w:r>
        <w:t>by her own party, fearing defeat</w:t>
      </w:r>
      <w:r w:rsidR="00BA327A">
        <w:t>,</w:t>
      </w:r>
      <w:r>
        <w:t xml:space="preserve"> and then left without a single Scottish MP in 1997. A devolved Scottish parliament, stronger than the Assembly offered in 1979, </w:t>
      </w:r>
      <w:r w:rsidR="007A113D">
        <w:t>was created (</w:t>
      </w:r>
      <w:r w:rsidR="008B4159">
        <w:t xml:space="preserve">‘reconvened’ if you were Winnie Ewing) in 1997. It was more than a ‘political’ institution, because it had been the creature of civil society in Scotland designed in the long, dark days of opposition in the 1980s and 1990s. It quickly established itself as the premier focus for Scottish </w:t>
      </w:r>
      <w:r w:rsidR="007A113D">
        <w:t>domestic</w:t>
      </w:r>
      <w:r w:rsidR="008B4159">
        <w:t xml:space="preserve"> politics, elected by proportional representation. Labour saw it as a way of seeing off the Nationalists; the Conservatives </w:t>
      </w:r>
      <w:r w:rsidR="007A113D">
        <w:t xml:space="preserve">first </w:t>
      </w:r>
      <w:r w:rsidR="00BA327A">
        <w:t>considered</w:t>
      </w:r>
      <w:r w:rsidR="007A113D">
        <w:t xml:space="preserve"> it </w:t>
      </w:r>
      <w:r w:rsidR="00BA327A">
        <w:t xml:space="preserve">the beginning of </w:t>
      </w:r>
      <w:r w:rsidR="008B4159">
        <w:t xml:space="preserve">the end of civilisation, </w:t>
      </w:r>
      <w:r w:rsidR="007A113D">
        <w:t>only for it</w:t>
      </w:r>
      <w:r w:rsidR="008B4159">
        <w:t xml:space="preserve"> </w:t>
      </w:r>
      <w:r w:rsidR="007A113D">
        <w:t>to be their</w:t>
      </w:r>
      <w:r w:rsidR="008B4159">
        <w:t xml:space="preserve"> means of survival. The SNP saw it, with a few traditional dissenters, as a means t</w:t>
      </w:r>
      <w:r w:rsidR="000B5889">
        <w:t>o a longer-term end, a stepping-</w:t>
      </w:r>
      <w:r w:rsidR="008B4159">
        <w:t xml:space="preserve">stone to ultimate independence. </w:t>
      </w:r>
      <w:r w:rsidR="0036698C">
        <w:t xml:space="preserve">Some </w:t>
      </w:r>
      <w:r w:rsidR="00BA327A">
        <w:t xml:space="preserve">politicians </w:t>
      </w:r>
      <w:r w:rsidR="0036698C">
        <w:t xml:space="preserve">warned that it was the thin end of the wedge, the slippery slope to independence, but there was little they could do about that. Labour was in power for the parliament’s first two terms, but in truth it did not know what to do with power: ‘doing less better’, was one of </w:t>
      </w:r>
      <w:r w:rsidR="000B5889">
        <w:t>its</w:t>
      </w:r>
      <w:r w:rsidR="0036698C">
        <w:t xml:space="preserve"> less edifying slogans. </w:t>
      </w:r>
    </w:p>
    <w:p w14:paraId="18C3F8EE" w14:textId="77777777" w:rsidR="0036698C" w:rsidRDefault="0036698C" w:rsidP="00BE5D62">
      <w:pPr>
        <w:spacing w:line="480" w:lineRule="auto"/>
      </w:pPr>
    </w:p>
    <w:p w14:paraId="557A1C56" w14:textId="37A79B42" w:rsidR="0036698C" w:rsidRDefault="0036698C" w:rsidP="00BE5D62">
      <w:pPr>
        <w:spacing w:line="480" w:lineRule="auto"/>
      </w:pPr>
      <w:r>
        <w:t xml:space="preserve">And so, less than </w:t>
      </w:r>
      <w:r w:rsidR="00E724BE">
        <w:t>two</w:t>
      </w:r>
      <w:r>
        <w:t xml:space="preserve"> decade</w:t>
      </w:r>
      <w:r w:rsidR="00E724BE">
        <w:t>s</w:t>
      </w:r>
      <w:r>
        <w:t xml:space="preserve"> after the parliament was set up, Tom Devine’s words</w:t>
      </w:r>
      <w:r w:rsidR="007A6685">
        <w:t xml:space="preserve"> ring true</w:t>
      </w:r>
      <w:r>
        <w:t>, ‘the SNP has virtually turned Scotland into a nationalist polity’ (Devine, 2015: 270)</w:t>
      </w:r>
      <w:r w:rsidR="0006558A">
        <w:rPr>
          <w:rStyle w:val="FootnoteReference"/>
        </w:rPr>
        <w:footnoteReference w:id="3"/>
      </w:r>
      <w:r>
        <w:t xml:space="preserve">. </w:t>
      </w:r>
      <w:r w:rsidR="007A6685">
        <w:t xml:space="preserve">The Unionist parties (Labour, in some desperation had taken </w:t>
      </w:r>
      <w:r w:rsidR="000B5889">
        <w:t xml:space="preserve">to wearing </w:t>
      </w:r>
      <w:r w:rsidR="007A6685">
        <w:t>the mantle which it had long avoided</w:t>
      </w:r>
      <w:r w:rsidR="00BA327A">
        <w:t xml:space="preserve"> because of its association with Conservatism and Protestantism</w:t>
      </w:r>
      <w:r w:rsidR="007A6685">
        <w:t xml:space="preserve">) agreed to a referendum on independence in 2014, but only on condition it allowed for a Yes/No answer. The ostensible aim was to see off the independence vote ‘for a lifetime’, despite (or because of) the fact that as many as 30 per cent of people in Scotland wanted a more powerful parliament within the UK (so-called devolution-max). When the polls narrowed the gap, the Unionists </w:t>
      </w:r>
      <w:r w:rsidR="000B5889">
        <w:t>issued</w:t>
      </w:r>
      <w:r w:rsidR="007A6685">
        <w:t xml:space="preserve"> </w:t>
      </w:r>
      <w:r w:rsidR="00BA327A">
        <w:t>The</w:t>
      </w:r>
      <w:r w:rsidR="007A6685">
        <w:t xml:space="preserve"> Vow that in the event of a No vote they would consider extending </w:t>
      </w:r>
      <w:r w:rsidR="000B5889">
        <w:t xml:space="preserve">the </w:t>
      </w:r>
      <w:r w:rsidR="007A6685">
        <w:t>powers of the parliament. Making up policy on the hoof is never a good idea, and the Smith Commission convened after the</w:t>
      </w:r>
      <w:r w:rsidR="00BA327A">
        <w:t xml:space="preserve"> result, and delivering within six</w:t>
      </w:r>
      <w:r w:rsidR="007A6685">
        <w:t xml:space="preserve"> weeks, was never able to hold the line. Labour in particular were taken aback by David Cameron’s interpretation of the result as requiring a solution to the ‘English’ question (</w:t>
      </w:r>
      <w:r w:rsidR="00BA327A">
        <w:t xml:space="preserve">EVEL, </w:t>
      </w:r>
      <w:r w:rsidR="007A6685">
        <w:t xml:space="preserve">English votes for English laws). </w:t>
      </w:r>
      <w:r w:rsidR="007A113D">
        <w:t xml:space="preserve">They felt they had been treated, in Lenin’s phrase, as useful idiots </w:t>
      </w:r>
      <w:r w:rsidR="00BA327A">
        <w:t xml:space="preserve">in order </w:t>
      </w:r>
      <w:r w:rsidR="007A113D">
        <w:t>to save the Union.</w:t>
      </w:r>
    </w:p>
    <w:p w14:paraId="16DC7303" w14:textId="77777777" w:rsidR="007A6685" w:rsidRDefault="007A6685" w:rsidP="00BE5D62">
      <w:pPr>
        <w:spacing w:line="480" w:lineRule="auto"/>
      </w:pPr>
    </w:p>
    <w:p w14:paraId="7F6576C0" w14:textId="51E966FE" w:rsidR="008D4A29" w:rsidRDefault="007A6685" w:rsidP="00BE5D62">
      <w:pPr>
        <w:spacing w:line="480" w:lineRule="auto"/>
      </w:pPr>
      <w:r>
        <w:t xml:space="preserve">The British General Election of 2015 turned out to be a continuation of the referendum campaign, and under first-past-the-post, the SNP swept up almost all </w:t>
      </w:r>
      <w:r w:rsidR="007A113D">
        <w:t xml:space="preserve">(95 per cent) of </w:t>
      </w:r>
      <w:r>
        <w:t xml:space="preserve">the Scottish seats, </w:t>
      </w:r>
      <w:r w:rsidR="002F3BBA">
        <w:t xml:space="preserve">on 50 per cent of the popular vote, last achieved, ironically, by the Conservatives in 1955. One year later, at the Scottish parliament elections, the SNP held on to power, but without the overall majority they achieved in 2011. This was a function of the </w:t>
      </w:r>
      <w:r w:rsidR="00BA327A">
        <w:t>Additional Member System</w:t>
      </w:r>
      <w:r w:rsidR="00372976">
        <w:t xml:space="preserve"> </w:t>
      </w:r>
      <w:r w:rsidR="002F3BBA">
        <w:t xml:space="preserve">which </w:t>
      </w:r>
      <w:r w:rsidR="002F3BBA" w:rsidRPr="00372976">
        <w:t>militated a</w:t>
      </w:r>
      <w:r w:rsidR="002F3BBA">
        <w:t>gainst any single party getting a majority of seat</w:t>
      </w:r>
      <w:r w:rsidR="00372976">
        <w:t xml:space="preserve">s. </w:t>
      </w:r>
      <w:r w:rsidR="00BA0337">
        <w:t xml:space="preserve">That the SNP did so in 2011, winning 53 per cent of the seats, </w:t>
      </w:r>
      <w:r w:rsidR="007A113D">
        <w:t>was</w:t>
      </w:r>
      <w:r w:rsidR="002F3BBA">
        <w:t xml:space="preserve"> the unusual effect of getting virtually the same proportion of the votes in both constituency and list votes (respectively, 45 per and 44 per cent). </w:t>
      </w:r>
      <w:r w:rsidR="00BA0337">
        <w:t xml:space="preserve">In 2016, 46 per cent and 42 per cent of the votes gave the SNP 49 per cent of </w:t>
      </w:r>
      <w:r w:rsidR="00372976">
        <w:t>the seats</w:t>
      </w:r>
      <w:r w:rsidR="00BA0337">
        <w:t xml:space="preserve">. </w:t>
      </w:r>
    </w:p>
    <w:p w14:paraId="022103E1" w14:textId="77777777" w:rsidR="00F45F55" w:rsidRPr="008D4A29" w:rsidRDefault="00F45F55" w:rsidP="00BE5D62">
      <w:pPr>
        <w:spacing w:line="480" w:lineRule="auto"/>
      </w:pPr>
    </w:p>
    <w:p w14:paraId="2F9B5D7E" w14:textId="33FC1489" w:rsidR="0024562F" w:rsidRDefault="00BA0337" w:rsidP="00BE5D62">
      <w:pPr>
        <w:spacing w:line="480" w:lineRule="auto"/>
      </w:pPr>
      <w:r>
        <w:t xml:space="preserve">And so to another referendum, this time on British membership of the European Union in 2016. </w:t>
      </w:r>
      <w:r w:rsidR="008D4A29">
        <w:t>If there is such a thing as a sociological law, it is that of unintended consequences</w:t>
      </w:r>
      <w:r w:rsidR="0024562F">
        <w:t xml:space="preserve">; which means of course that one can never predict </w:t>
      </w:r>
      <w:r w:rsidR="0006558A">
        <w:t xml:space="preserve">precisely </w:t>
      </w:r>
      <w:r w:rsidR="0024562F">
        <w:t>what will happen</w:t>
      </w:r>
      <w:r w:rsidR="008D4A29">
        <w:t>. Social and political life seldom follow</w:t>
      </w:r>
      <w:r w:rsidR="00E724BE">
        <w:t>s</w:t>
      </w:r>
      <w:r w:rsidR="008D4A29">
        <w:t xml:space="preserve"> a predictable path, although we are rather better at explaining how things come about </w:t>
      </w:r>
      <w:r w:rsidR="008D4A29" w:rsidRPr="0024562F">
        <w:rPr>
          <w:i/>
        </w:rPr>
        <w:t>after</w:t>
      </w:r>
      <w:r w:rsidR="008D4A29">
        <w:t xml:space="preserve"> the event. </w:t>
      </w:r>
    </w:p>
    <w:p w14:paraId="68AC9246" w14:textId="77777777" w:rsidR="00E724BE" w:rsidRDefault="00E724BE" w:rsidP="00BE5D62">
      <w:pPr>
        <w:spacing w:line="480" w:lineRule="auto"/>
      </w:pPr>
    </w:p>
    <w:p w14:paraId="7C22A164" w14:textId="3F998355" w:rsidR="0024562F" w:rsidRDefault="008D4A29" w:rsidP="00BE5D62">
      <w:pPr>
        <w:spacing w:line="480" w:lineRule="auto"/>
      </w:pPr>
      <w:r>
        <w:t xml:space="preserve">When the UK government announced its intention of having a referendum on Britain’s membership of the European Union, it was </w:t>
      </w:r>
      <w:r w:rsidR="0024562F">
        <w:t>a device</w:t>
      </w:r>
      <w:r>
        <w:t xml:space="preserve"> for a Prime Minister to get himself off a political</w:t>
      </w:r>
      <w:r w:rsidR="00E724BE">
        <w:t xml:space="preserve"> hook</w:t>
      </w:r>
      <w:r>
        <w:t xml:space="preserve">, that a substantial proportion of his own party were profoundly Eurosceptic, even Europhobic. It was not difficult to see that this had much wider implications, that if England voted Eurosceptically, Scotland might not. There was no guarantee of this, for public opinion north of the border had long been </w:t>
      </w:r>
      <w:r w:rsidR="0024562F">
        <w:t>‘</w:t>
      </w:r>
      <w:r>
        <w:t>healthily</w:t>
      </w:r>
      <w:r w:rsidR="0024562F">
        <w:t>’</w:t>
      </w:r>
      <w:r>
        <w:t xml:space="preserve"> Eurosceptic, but rarely Europhobic. This was </w:t>
      </w:r>
      <w:r w:rsidR="0024562F">
        <w:t xml:space="preserve">in part </w:t>
      </w:r>
      <w:r>
        <w:t xml:space="preserve">because nationalist opinion in Scotland promoted the European union as an alternative to the British one: </w:t>
      </w:r>
      <w:r w:rsidR="0024562F">
        <w:t>‘</w:t>
      </w:r>
      <w:r>
        <w:t>Independence in Europe</w:t>
      </w:r>
      <w:r w:rsidR="0024562F">
        <w:t>’</w:t>
      </w:r>
      <w:r>
        <w:t xml:space="preserve">, after all, </w:t>
      </w:r>
      <w:r w:rsidR="0024562F">
        <w:t>had been</w:t>
      </w:r>
      <w:r>
        <w:t xml:space="preserve"> the SNP’s slogan</w:t>
      </w:r>
      <w:r w:rsidR="0024562F">
        <w:t>, as much for tactical advantage than anything else</w:t>
      </w:r>
      <w:r>
        <w:t xml:space="preserve">. </w:t>
      </w:r>
    </w:p>
    <w:p w14:paraId="4112127B" w14:textId="77777777" w:rsidR="0024562F" w:rsidRDefault="0024562F" w:rsidP="00BE5D62">
      <w:pPr>
        <w:spacing w:line="480" w:lineRule="auto"/>
      </w:pPr>
    </w:p>
    <w:p w14:paraId="69C3774C" w14:textId="77777777" w:rsidR="0006558A" w:rsidRDefault="008D4A29" w:rsidP="00BE5D62">
      <w:pPr>
        <w:spacing w:line="480" w:lineRule="auto"/>
      </w:pPr>
      <w:r>
        <w:t xml:space="preserve">A </w:t>
      </w:r>
      <w:r w:rsidR="0006558A">
        <w:t>proto-</w:t>
      </w:r>
      <w:r>
        <w:t xml:space="preserve">English nationalism defined itself vis-à-vis ‘Europe’, a proverbial black-box into which almost anything could be read. It did not take a crystal ball to predict that ‘Brexit’ would provide a convenient slogan for a myriad, inchoate set of discontents. Quite apart from the ‘vis-à-vis’ question, nationalism in Scotland had long taken a different path, one which recognised that ‘independence’ in the modern world was always going to be partial and complex. Alongside the ideological framing that did not see ‘Europe’ as the ‘other’ (unlike England), successive Scottish governments had cultivated the material resources which the European dimension brought to the table. </w:t>
      </w:r>
    </w:p>
    <w:p w14:paraId="7F503A01" w14:textId="77777777" w:rsidR="00E724BE" w:rsidRDefault="00E724BE" w:rsidP="00BE5D62">
      <w:pPr>
        <w:spacing w:line="480" w:lineRule="auto"/>
      </w:pPr>
    </w:p>
    <w:p w14:paraId="620B84E0" w14:textId="4F54E569" w:rsidR="003F6E9C" w:rsidRDefault="008D4A29" w:rsidP="00BE5D62">
      <w:pPr>
        <w:spacing w:line="480" w:lineRule="auto"/>
      </w:pPr>
      <w:r>
        <w:t xml:space="preserve">In a small, sparsely-populated country on the north-west fringes of </w:t>
      </w:r>
      <w:r w:rsidR="003F6E9C">
        <w:t xml:space="preserve">Europe, with substantial natural resources, Europe offered more credits than debits. It also provided a narrative which </w:t>
      </w:r>
      <w:r w:rsidR="0024562F">
        <w:t>defined</w:t>
      </w:r>
      <w:r w:rsidR="003F6E9C">
        <w:t xml:space="preserve"> Scotland once more </w:t>
      </w:r>
      <w:r w:rsidR="00E724BE">
        <w:t xml:space="preserve">as a European country. That the </w:t>
      </w:r>
      <w:r w:rsidR="003F6E9C">
        <w:t xml:space="preserve">Scottish result </w:t>
      </w:r>
      <w:r w:rsidR="00E724BE">
        <w:t>on 23</w:t>
      </w:r>
      <w:r w:rsidR="00E724BE" w:rsidRPr="00E724BE">
        <w:rPr>
          <w:vertAlign w:val="superscript"/>
        </w:rPr>
        <w:t>rd</w:t>
      </w:r>
      <w:r w:rsidR="00E724BE">
        <w:t xml:space="preserve"> June 2016 </w:t>
      </w:r>
      <w:r w:rsidR="003F6E9C">
        <w:t>was so much in contrast with that in England (and Wales, for that matter</w:t>
      </w:r>
      <w:r w:rsidR="0006558A">
        <w:t>, which makes the term ‘England-and-Wales’ trip more readily off the tongue</w:t>
      </w:r>
      <w:r w:rsidR="0006558A">
        <w:rPr>
          <w:rStyle w:val="FootnoteReference"/>
        </w:rPr>
        <w:footnoteReference w:id="4"/>
      </w:r>
      <w:r w:rsidR="003F6E9C">
        <w:t xml:space="preserve">) provided the means of propulsion from the British union. Given the events of the previous few years, and with hindsight, we can see how the trajectory worked. </w:t>
      </w:r>
    </w:p>
    <w:p w14:paraId="56C598F1" w14:textId="3B76BFB7" w:rsidR="003F6E9C" w:rsidRDefault="003F6E9C" w:rsidP="00BE5D62">
      <w:pPr>
        <w:spacing w:line="480" w:lineRule="auto"/>
      </w:pPr>
      <w:r w:rsidRPr="003F6E9C">
        <w:rPr>
          <w:noProof/>
          <w:lang w:val="en-US"/>
        </w:rPr>
        <w:drawing>
          <wp:inline distT="0" distB="0" distL="0" distR="0" wp14:anchorId="55A595B0" wp14:editId="448824A1">
            <wp:extent cx="5270500" cy="2641960"/>
            <wp:effectExtent l="0" t="0" r="0" b="4318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0559ADB1" w14:textId="6F41E4CE" w:rsidR="003F6E9C" w:rsidRDefault="003F6E9C" w:rsidP="00BE5D62">
      <w:pPr>
        <w:spacing w:line="480" w:lineRule="auto"/>
      </w:pPr>
      <w:r>
        <w:t>None of the points on the trajectory were</w:t>
      </w:r>
      <w:r w:rsidR="0024562F">
        <w:t>, or are,</w:t>
      </w:r>
      <w:r>
        <w:t xml:space="preserve"> inevitable: that a majority No vote in 2014 would mean that the w</w:t>
      </w:r>
      <w:r w:rsidR="0024562F">
        <w:t>inners lost, and the losers won</w:t>
      </w:r>
      <w:r>
        <w:t xml:space="preserve"> the ideological battle; that the Conservatives would win the 2015 UK election, and that the Prime Minister would </w:t>
      </w:r>
      <w:r w:rsidR="005B2715">
        <w:t>be held to</w:t>
      </w:r>
      <w:r>
        <w:t xml:space="preserve"> his promise </w:t>
      </w:r>
      <w:r w:rsidR="005B2715">
        <w:t>made in</w:t>
      </w:r>
      <w:r>
        <w:t xml:space="preserve"> 2013 to hold a Brexit referendum; that the SNP would be re-elected in an electoral system which made an overall majority hard to achieve</w:t>
      </w:r>
      <w:r w:rsidR="00BF2E6B">
        <w:t xml:space="preserve">; </w:t>
      </w:r>
      <w:r w:rsidR="0024562F">
        <w:t xml:space="preserve">or </w:t>
      </w:r>
      <w:r w:rsidR="00BF2E6B">
        <w:t xml:space="preserve">that the UK (more precisely, England and Wales) would vote </w:t>
      </w:r>
      <w:r w:rsidR="00BF2E6B" w:rsidRPr="005B2715">
        <w:rPr>
          <w:i/>
        </w:rPr>
        <w:t>Leave</w:t>
      </w:r>
      <w:r w:rsidR="00BF2E6B">
        <w:t xml:space="preserve">. </w:t>
      </w:r>
    </w:p>
    <w:p w14:paraId="7FD1880C" w14:textId="77777777" w:rsidR="00BF2E6B" w:rsidRDefault="00BF2E6B" w:rsidP="00BE5D62">
      <w:pPr>
        <w:spacing w:line="480" w:lineRule="auto"/>
      </w:pPr>
    </w:p>
    <w:p w14:paraId="74D91964" w14:textId="64AF7C4B" w:rsidR="00BF2E6B" w:rsidRDefault="00BF2E6B" w:rsidP="00BE5D62">
      <w:pPr>
        <w:spacing w:line="480" w:lineRule="auto"/>
      </w:pPr>
      <w:r>
        <w:t>If none of these were predictable, n</w:t>
      </w:r>
      <w:r w:rsidR="005B2715">
        <w:t>either</w:t>
      </w:r>
      <w:r>
        <w:t xml:space="preserve"> is Scottish independence, either in the sense that a majority would vote Yes </w:t>
      </w:r>
      <w:r w:rsidR="0024562F">
        <w:t xml:space="preserve">in a future referendum, </w:t>
      </w:r>
      <w:r>
        <w:t xml:space="preserve">in contrast to 2014 (and if so, in what proportion to confer legitimacy), or that the political conditions for such ‘independence’ would be achieved, at least within the European Union. Social scientists, </w:t>
      </w:r>
      <w:r w:rsidR="005B2715">
        <w:t>in any case</w:t>
      </w:r>
      <w:r>
        <w:t xml:space="preserve">, are not very proficient at prediction, given the sheer complexities of social, political and economic life. What we can say is that, the scenario which presented itself, an English </w:t>
      </w:r>
      <w:r w:rsidRPr="0024562F">
        <w:rPr>
          <w:i/>
        </w:rPr>
        <w:t>Leave</w:t>
      </w:r>
      <w:r>
        <w:t xml:space="preserve"> vote and a Scottish </w:t>
      </w:r>
      <w:r w:rsidRPr="0024562F">
        <w:rPr>
          <w:i/>
        </w:rPr>
        <w:t>Remain</w:t>
      </w:r>
      <w:r>
        <w:t>, presents the conditions for propelling Scotland out of the British Union, while making it not at all certain that this will happen</w:t>
      </w:r>
      <w:r w:rsidR="00F10476">
        <w:t>, nor in the form it would take</w:t>
      </w:r>
      <w:r>
        <w:t xml:space="preserve">.  </w:t>
      </w:r>
    </w:p>
    <w:p w14:paraId="7D8383D6" w14:textId="77777777" w:rsidR="008770EC" w:rsidRDefault="008770EC" w:rsidP="00BE5D62">
      <w:pPr>
        <w:spacing w:line="480" w:lineRule="auto"/>
      </w:pPr>
    </w:p>
    <w:p w14:paraId="0F14FEE7" w14:textId="454C5877" w:rsidR="00077A1E" w:rsidRDefault="0044160F" w:rsidP="00F10476">
      <w:pPr>
        <w:spacing w:line="480" w:lineRule="auto"/>
      </w:pPr>
      <w:r>
        <w:t xml:space="preserve">But what, you might </w:t>
      </w:r>
      <w:r w:rsidR="00350E8D">
        <w:t>point out</w:t>
      </w:r>
      <w:r>
        <w:t xml:space="preserve">, of my </w:t>
      </w:r>
      <w:r w:rsidR="00350E8D">
        <w:t>claim</w:t>
      </w:r>
      <w:r>
        <w:t xml:space="preserve"> that it is the sociology, not the politics of Scotland which matters? The short answer to that is in the modern age we cannot make a hard and fast distinction between ‘sociology’ and ‘politics’, between society and state. </w:t>
      </w:r>
      <w:r w:rsidR="00372976">
        <w:t xml:space="preserve">The two run into each other. </w:t>
      </w:r>
      <w:r>
        <w:t xml:space="preserve">In the post-war period, the state in all modern societies </w:t>
      </w:r>
      <w:r w:rsidR="00077A1E">
        <w:t xml:space="preserve">plays a central role in the quest for economic growth, even while governments adopted a neo-liberal, hands-off, view of these matters. </w:t>
      </w:r>
      <w:r w:rsidR="00F10476">
        <w:t xml:space="preserve">The line between ‘state’ and ‘society’ is virtually impossible to discern. </w:t>
      </w:r>
    </w:p>
    <w:p w14:paraId="1CEAAD97" w14:textId="77777777" w:rsidR="00F10476" w:rsidRDefault="00F10476" w:rsidP="00F10476">
      <w:pPr>
        <w:spacing w:line="480" w:lineRule="auto"/>
      </w:pPr>
    </w:p>
    <w:p w14:paraId="682B8994" w14:textId="640DD097" w:rsidR="00487D3E" w:rsidRDefault="00077A1E" w:rsidP="00BE5D62">
      <w:pPr>
        <w:spacing w:line="480" w:lineRule="auto"/>
      </w:pPr>
      <w:r>
        <w:t>Translating that to a Scottish context, the parliament is not simply a ‘political’ instrument, but the means of social transformation and change</w:t>
      </w:r>
      <w:r w:rsidR="00F10476">
        <w:t xml:space="preserve"> (hence</w:t>
      </w:r>
      <w:r w:rsidR="000B5889">
        <w:t xml:space="preserve"> the term, social politics)</w:t>
      </w:r>
      <w:r>
        <w:t xml:space="preserve">. </w:t>
      </w:r>
      <w:r w:rsidR="00487D3E">
        <w:t xml:space="preserve">We might say that Scotland has not changed because </w:t>
      </w:r>
      <w:r w:rsidR="00F10476">
        <w:t xml:space="preserve">of </w:t>
      </w:r>
      <w:r w:rsidR="00487D3E">
        <w:t xml:space="preserve">its politics; rather, that its politics have changed because Scotland has. </w:t>
      </w:r>
    </w:p>
    <w:p w14:paraId="504C3BB2" w14:textId="77777777" w:rsidR="00487D3E" w:rsidRDefault="00487D3E" w:rsidP="00BE5D62">
      <w:pPr>
        <w:spacing w:line="480" w:lineRule="auto"/>
      </w:pPr>
    </w:p>
    <w:p w14:paraId="01082380" w14:textId="77777777" w:rsidR="00F10476" w:rsidRDefault="00077A1E" w:rsidP="00BE5D62">
      <w:pPr>
        <w:spacing w:line="480" w:lineRule="auto"/>
      </w:pPr>
      <w:r>
        <w:t>Different policy communities in Scotland, education, health, housing, the economy</w:t>
      </w:r>
      <w:r w:rsidR="00B26323">
        <w:t>, the arts</w:t>
      </w:r>
      <w:r>
        <w:t xml:space="preserve"> and so on, look to </w:t>
      </w:r>
      <w:r w:rsidR="00350E8D">
        <w:t xml:space="preserve">Scottish </w:t>
      </w:r>
      <w:r>
        <w:t>parliament</w:t>
      </w:r>
      <w:r w:rsidR="00350E8D">
        <w:t>/</w:t>
      </w:r>
      <w:r>
        <w:t xml:space="preserve"> government to act as </w:t>
      </w:r>
      <w:r w:rsidR="00350E8D">
        <w:t xml:space="preserve">the </w:t>
      </w:r>
      <w:r w:rsidR="00350E8D" w:rsidRPr="00372976">
        <w:t xml:space="preserve">transmission </w:t>
      </w:r>
      <w:r w:rsidR="00372976" w:rsidRPr="00372976">
        <w:t>s</w:t>
      </w:r>
      <w:r w:rsidR="00372976">
        <w:t>ystem</w:t>
      </w:r>
      <w:r>
        <w:t xml:space="preserve"> of policies</w:t>
      </w:r>
      <w:r w:rsidR="00B26323">
        <w:t>. In this way, parliament</w:t>
      </w:r>
      <w:r w:rsidR="00350E8D">
        <w:t>/</w:t>
      </w:r>
      <w:r w:rsidR="00B26323">
        <w:t xml:space="preserve">government </w:t>
      </w:r>
      <w:r w:rsidR="00372976">
        <w:t>itself</w:t>
      </w:r>
      <w:r w:rsidR="00B26323">
        <w:t xml:space="preserve"> become</w:t>
      </w:r>
      <w:r w:rsidR="00372976">
        <w:t>s</w:t>
      </w:r>
      <w:r w:rsidR="00B26323">
        <w:t xml:space="preserve"> the mo</w:t>
      </w:r>
      <w:r w:rsidR="00350E8D">
        <w:t>st important ‘policy community</w:t>
      </w:r>
      <w:r w:rsidR="00B26323">
        <w:t>’ of all. The new politics of Scotland since 1999, which quickly established itself as the premier terrain</w:t>
      </w:r>
      <w:r w:rsidR="00350E8D">
        <w:t xml:space="preserve"> in the minds of voters</w:t>
      </w:r>
      <w:r w:rsidR="00B26323">
        <w:t xml:space="preserve">, have reinforced and given expression to social aspirations and demands. </w:t>
      </w:r>
    </w:p>
    <w:p w14:paraId="1EE34672" w14:textId="77777777" w:rsidR="00F10476" w:rsidRDefault="00F10476" w:rsidP="00BE5D62">
      <w:pPr>
        <w:spacing w:line="480" w:lineRule="auto"/>
      </w:pPr>
    </w:p>
    <w:p w14:paraId="6D464E23" w14:textId="30469588" w:rsidR="00077A1E" w:rsidRDefault="00B26323" w:rsidP="00BE5D62">
      <w:pPr>
        <w:spacing w:line="480" w:lineRule="auto"/>
      </w:pPr>
      <w:r>
        <w:t>The parliament and government have become the key bricks in the wall of Scottish civil society. Where this will go in constitutional terms is impossible to say. Much hinges on that useful sociological expression</w:t>
      </w:r>
      <w:r w:rsidR="00350E8D">
        <w:t xml:space="preserve"> given to us by Max Weber</w:t>
      </w:r>
      <w:r>
        <w:t>, the unintended consequences of human action</w:t>
      </w:r>
      <w:r w:rsidR="00372976">
        <w:rPr>
          <w:rStyle w:val="FootnoteReference"/>
        </w:rPr>
        <w:footnoteReference w:id="5"/>
      </w:r>
      <w:r>
        <w:t xml:space="preserve">. Nothing is set in stone, nor planned out exactly in advance. Events and processes unfold; there is no blueprint in a rapidly changing world. </w:t>
      </w:r>
      <w:r w:rsidR="002B3DD0">
        <w:t>Just how society/state relations develop in Scotland will depend as much on events and processes elsewhere</w:t>
      </w:r>
      <w:r w:rsidR="00B0668E">
        <w:t xml:space="preserve">. </w:t>
      </w:r>
    </w:p>
    <w:p w14:paraId="6890A0A9" w14:textId="77777777" w:rsidR="000B5889" w:rsidRDefault="000B5889" w:rsidP="00BE5D62">
      <w:pPr>
        <w:spacing w:line="480" w:lineRule="auto"/>
      </w:pPr>
    </w:p>
    <w:p w14:paraId="0F7073AD" w14:textId="767CB15D" w:rsidR="000B5889" w:rsidRDefault="000B5889" w:rsidP="00BE5D62">
      <w:pPr>
        <w:spacing w:line="480" w:lineRule="auto"/>
      </w:pPr>
      <w:r>
        <w:t xml:space="preserve">And so this book is written in that context. This is how we have got here. This epilogue acknowledges that the tale is not ended, nor that it will have a predictable end. Others will have a different tale to tell, or tell it in a different way. </w:t>
      </w:r>
      <w:r w:rsidR="00DF22D3">
        <w:t>Tom Burns’ stricture that the business of sociology is to conduct a critical debate with society about its social institutions</w:t>
      </w:r>
      <w:r w:rsidR="00F56F08">
        <w:t>, whatever the outcome,</w:t>
      </w:r>
      <w:r w:rsidR="00DF22D3">
        <w:t xml:space="preserve"> continues to ring true. </w:t>
      </w:r>
      <w:r w:rsidR="00F10476">
        <w:t>Let us end with words from Jackie Kay, the Scots makar, written to celebrate the 2016 opening of the fifth session of the Scottish Parliament</w:t>
      </w:r>
      <w:r w:rsidR="00F10476">
        <w:rPr>
          <w:rStyle w:val="FootnoteReference"/>
        </w:rPr>
        <w:footnoteReference w:id="6"/>
      </w:r>
      <w:r w:rsidR="00F10476">
        <w:t>.</w:t>
      </w:r>
    </w:p>
    <w:p w14:paraId="10123FB2" w14:textId="083DD743" w:rsidR="00F10476" w:rsidRDefault="00AC1782" w:rsidP="00BE5D62">
      <w:pPr>
        <w:spacing w:line="480" w:lineRule="auto"/>
      </w:pPr>
      <w:r>
        <w:t>[start box]</w:t>
      </w:r>
    </w:p>
    <w:p w14:paraId="7C01BD0E" w14:textId="77777777" w:rsidR="00F10476" w:rsidRPr="004D59DB" w:rsidRDefault="00F10476" w:rsidP="00F10476">
      <w:pPr>
        <w:widowControl w:val="0"/>
        <w:autoSpaceDE w:val="0"/>
        <w:autoSpaceDN w:val="0"/>
        <w:adjustRightInd w:val="0"/>
        <w:spacing w:line="480" w:lineRule="auto"/>
        <w:rPr>
          <w:rFonts w:cs="FreeSet-Book"/>
          <w:lang w:val="en-US"/>
        </w:rPr>
      </w:pPr>
      <w:r w:rsidRPr="004D59DB">
        <w:rPr>
          <w:rFonts w:cs="FreeSet-Book"/>
          <w:lang w:val="en-US"/>
        </w:rPr>
        <w:t>Find here what you are looking for:</w:t>
      </w:r>
    </w:p>
    <w:p w14:paraId="69BEC86E" w14:textId="77777777" w:rsidR="00F10476" w:rsidRPr="004D59DB" w:rsidRDefault="00F10476" w:rsidP="00F10476">
      <w:pPr>
        <w:widowControl w:val="0"/>
        <w:autoSpaceDE w:val="0"/>
        <w:autoSpaceDN w:val="0"/>
        <w:adjustRightInd w:val="0"/>
        <w:spacing w:line="480" w:lineRule="auto"/>
        <w:rPr>
          <w:rFonts w:cs="FreeSet-Book"/>
          <w:lang w:val="en-US"/>
        </w:rPr>
      </w:pPr>
      <w:r w:rsidRPr="004D59DB">
        <w:rPr>
          <w:rFonts w:cs="FreeSet-Book"/>
          <w:lang w:val="en-US"/>
        </w:rPr>
        <w:t>Democracy in its infancy: guard her</w:t>
      </w:r>
    </w:p>
    <w:p w14:paraId="571C1806" w14:textId="77777777" w:rsidR="00F10476" w:rsidRPr="004D59DB" w:rsidRDefault="00F10476" w:rsidP="00F10476">
      <w:pPr>
        <w:widowControl w:val="0"/>
        <w:autoSpaceDE w:val="0"/>
        <w:autoSpaceDN w:val="0"/>
        <w:adjustRightInd w:val="0"/>
        <w:spacing w:line="480" w:lineRule="auto"/>
        <w:rPr>
          <w:rFonts w:cs="FreeSet-Book"/>
          <w:lang w:val="en-US"/>
        </w:rPr>
      </w:pPr>
    </w:p>
    <w:p w14:paraId="6BD285E1" w14:textId="77777777" w:rsidR="00F10476" w:rsidRPr="004D59DB" w:rsidRDefault="00F10476" w:rsidP="00F10476">
      <w:pPr>
        <w:widowControl w:val="0"/>
        <w:autoSpaceDE w:val="0"/>
        <w:autoSpaceDN w:val="0"/>
        <w:adjustRightInd w:val="0"/>
        <w:spacing w:line="480" w:lineRule="auto"/>
        <w:rPr>
          <w:rFonts w:cs="FreeSet-Book"/>
          <w:lang w:val="en-US"/>
        </w:rPr>
      </w:pPr>
      <w:r w:rsidRPr="004D59DB">
        <w:rPr>
          <w:rFonts w:cs="FreeSet-Book"/>
          <w:lang w:val="en-US"/>
        </w:rPr>
        <w:t>Like you would a small daughter</w:t>
      </w:r>
    </w:p>
    <w:p w14:paraId="0666F191" w14:textId="77777777" w:rsidR="00F10476" w:rsidRPr="004D59DB" w:rsidRDefault="00F10476" w:rsidP="00F10476">
      <w:pPr>
        <w:widowControl w:val="0"/>
        <w:autoSpaceDE w:val="0"/>
        <w:autoSpaceDN w:val="0"/>
        <w:adjustRightInd w:val="0"/>
        <w:spacing w:line="480" w:lineRule="auto"/>
        <w:rPr>
          <w:rFonts w:cs="FreeSet-Book"/>
          <w:lang w:val="en-US"/>
        </w:rPr>
      </w:pPr>
      <w:r w:rsidRPr="004D59DB">
        <w:rPr>
          <w:rFonts w:cs="FreeSet-Book"/>
          <w:lang w:val="en-US"/>
        </w:rPr>
        <w:t>And keep the door wide open, not just ajar,</w:t>
      </w:r>
    </w:p>
    <w:p w14:paraId="364DFFA6" w14:textId="77777777" w:rsidR="00F10476" w:rsidRPr="004D59DB" w:rsidRDefault="00F10476" w:rsidP="00F10476">
      <w:pPr>
        <w:widowControl w:val="0"/>
        <w:autoSpaceDE w:val="0"/>
        <w:autoSpaceDN w:val="0"/>
        <w:adjustRightInd w:val="0"/>
        <w:spacing w:line="480" w:lineRule="auto"/>
        <w:rPr>
          <w:rFonts w:cs="FreeSet-Book"/>
          <w:lang w:val="en-US"/>
        </w:rPr>
      </w:pPr>
    </w:p>
    <w:p w14:paraId="69555114" w14:textId="77777777" w:rsidR="00F10476" w:rsidRPr="004D59DB" w:rsidRDefault="00F10476" w:rsidP="00F10476">
      <w:pPr>
        <w:widowControl w:val="0"/>
        <w:autoSpaceDE w:val="0"/>
        <w:autoSpaceDN w:val="0"/>
        <w:adjustRightInd w:val="0"/>
        <w:spacing w:line="480" w:lineRule="auto"/>
        <w:rPr>
          <w:rFonts w:cs="FreeSet-Book"/>
          <w:lang w:val="en-US"/>
        </w:rPr>
      </w:pPr>
      <w:r w:rsidRPr="004D59DB">
        <w:rPr>
          <w:rFonts w:cs="FreeSet-Book"/>
          <w:lang w:val="en-US"/>
        </w:rPr>
        <w:t xml:space="preserve">And say, in any language you please, welcome, welcome </w:t>
      </w:r>
    </w:p>
    <w:p w14:paraId="27225B4E" w14:textId="09145AF0" w:rsidR="00F10476" w:rsidRPr="004D59DB" w:rsidRDefault="00F10476" w:rsidP="00F10476">
      <w:pPr>
        <w:spacing w:line="480" w:lineRule="auto"/>
        <w:rPr>
          <w:rFonts w:cs="FreeSet-Book"/>
          <w:lang w:val="en-US"/>
        </w:rPr>
      </w:pPr>
      <w:r w:rsidRPr="004D59DB">
        <w:rPr>
          <w:rFonts w:cs="FreeSet-Book"/>
          <w:lang w:val="en-US"/>
        </w:rPr>
        <w:t>To the world’s refugees.</w:t>
      </w:r>
    </w:p>
    <w:p w14:paraId="4777E2DB" w14:textId="5D46CA44" w:rsidR="00AC1782" w:rsidRPr="00F10476" w:rsidRDefault="00AC1782" w:rsidP="00F10476">
      <w:pPr>
        <w:spacing w:line="480" w:lineRule="auto"/>
      </w:pPr>
      <w:r>
        <w:rPr>
          <w:rFonts w:cs="FreeSet-Book"/>
          <w:color w:val="393939"/>
          <w:lang w:val="en-US"/>
        </w:rPr>
        <w:t>[end box]</w:t>
      </w:r>
    </w:p>
    <w:sectPr w:rsidR="00AC1782" w:rsidRPr="00F10476" w:rsidSect="00E724BE">
      <w:footerReference w:type="even" r:id="rId11"/>
      <w:footerReference w:type="default" r:id="rId12"/>
      <w:pgSz w:w="11900" w:h="16840"/>
      <w:pgMar w:top="1440" w:right="1800" w:bottom="1440" w:left="1800" w:header="708" w:footer="708" w:gutter="0"/>
      <w:pgNumType w:start="1037"/>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D4343" w14:textId="77777777" w:rsidR="00125CA5" w:rsidRDefault="00125CA5" w:rsidP="007A113D">
      <w:r>
        <w:separator/>
      </w:r>
    </w:p>
  </w:endnote>
  <w:endnote w:type="continuationSeparator" w:id="0">
    <w:p w14:paraId="2905E1DA" w14:textId="77777777" w:rsidR="00125CA5" w:rsidRDefault="00125CA5" w:rsidP="007A1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FreeSet-Book">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DA8F0" w14:textId="77777777" w:rsidR="00F10476" w:rsidRDefault="00F10476" w:rsidP="00BB33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335B98" w14:textId="77777777" w:rsidR="00F10476" w:rsidRDefault="00F10476" w:rsidP="0060060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8A0A2" w14:textId="77777777" w:rsidR="00F10476" w:rsidRDefault="00F10476" w:rsidP="00BB33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25CA5">
      <w:rPr>
        <w:rStyle w:val="PageNumber"/>
        <w:noProof/>
      </w:rPr>
      <w:t>1037</w:t>
    </w:r>
    <w:r>
      <w:rPr>
        <w:rStyle w:val="PageNumber"/>
      </w:rPr>
      <w:fldChar w:fldCharType="end"/>
    </w:r>
  </w:p>
  <w:p w14:paraId="61DE9009" w14:textId="77777777" w:rsidR="00F10476" w:rsidRDefault="00F10476" w:rsidP="0060060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A422B" w14:textId="77777777" w:rsidR="00125CA5" w:rsidRDefault="00125CA5" w:rsidP="007A113D">
      <w:r>
        <w:separator/>
      </w:r>
    </w:p>
  </w:footnote>
  <w:footnote w:type="continuationSeparator" w:id="0">
    <w:p w14:paraId="7F001537" w14:textId="77777777" w:rsidR="00125CA5" w:rsidRDefault="00125CA5" w:rsidP="007A113D">
      <w:r>
        <w:continuationSeparator/>
      </w:r>
    </w:p>
  </w:footnote>
  <w:footnote w:id="1">
    <w:p w14:paraId="5B725F5B" w14:textId="0A16D1BA" w:rsidR="00F10476" w:rsidRPr="002E299E" w:rsidRDefault="00F10476" w:rsidP="002E299E">
      <w:pPr>
        <w:pStyle w:val="NormalWeb"/>
        <w:rPr>
          <w:rFonts w:asciiTheme="minorHAnsi" w:hAnsiTheme="minorHAnsi"/>
          <w:sz w:val="24"/>
          <w:szCs w:val="24"/>
        </w:rPr>
      </w:pPr>
      <w:r>
        <w:rPr>
          <w:rStyle w:val="FootnoteReference"/>
        </w:rPr>
        <w:footnoteRef/>
      </w:r>
      <w:r>
        <w:t xml:space="preserve"> </w:t>
      </w:r>
      <w:r w:rsidRPr="002E299E">
        <w:rPr>
          <w:rFonts w:asciiTheme="minorHAnsi" w:hAnsiTheme="minorHAnsi"/>
          <w:sz w:val="24"/>
          <w:szCs w:val="24"/>
        </w:rPr>
        <w:t>Wolfe is alleged to have said of Highland soldiers</w:t>
      </w:r>
      <w:r>
        <w:rPr>
          <w:rFonts w:asciiTheme="minorHAnsi" w:hAnsiTheme="minorHAnsi"/>
          <w:sz w:val="24"/>
          <w:szCs w:val="24"/>
        </w:rPr>
        <w:t xml:space="preserve"> during the Seven Years’ War with France (1754-63):</w:t>
      </w:r>
      <w:r w:rsidRPr="002E299E">
        <w:rPr>
          <w:rFonts w:asciiTheme="minorHAnsi" w:hAnsiTheme="minorHAnsi"/>
          <w:sz w:val="24"/>
          <w:szCs w:val="24"/>
        </w:rPr>
        <w:t xml:space="preserve"> ’They are hardy, intrepid, accustomed to a rough country, and make no great mischief if they fall.’ </w:t>
      </w:r>
    </w:p>
    <w:p w14:paraId="621DCAE9" w14:textId="2D2B5B31" w:rsidR="00F10476" w:rsidRPr="002E299E" w:rsidRDefault="00F10476">
      <w:pPr>
        <w:pStyle w:val="FootnoteText"/>
        <w:rPr>
          <w:lang w:val="en-US"/>
        </w:rPr>
      </w:pPr>
    </w:p>
  </w:footnote>
  <w:footnote w:id="2">
    <w:p w14:paraId="30147C6F" w14:textId="6ACDE1EF" w:rsidR="00F10476" w:rsidRPr="00BA327A" w:rsidRDefault="00F10476">
      <w:pPr>
        <w:pStyle w:val="FootnoteText"/>
        <w:rPr>
          <w:lang w:val="en-US"/>
        </w:rPr>
      </w:pPr>
      <w:r>
        <w:rPr>
          <w:rStyle w:val="FootnoteReference"/>
        </w:rPr>
        <w:footnoteRef/>
      </w:r>
      <w:r>
        <w:t xml:space="preserve"> </w:t>
      </w:r>
      <w:r>
        <w:rPr>
          <w:lang w:val="en-US"/>
        </w:rPr>
        <w:t xml:space="preserve">Quoted in Tom Devine’s </w:t>
      </w:r>
      <w:r w:rsidRPr="00BA327A">
        <w:rPr>
          <w:i/>
          <w:lang w:val="en-US"/>
        </w:rPr>
        <w:t>Independence or Union</w:t>
      </w:r>
      <w:r>
        <w:rPr>
          <w:lang w:val="en-US"/>
        </w:rPr>
        <w:t xml:space="preserve"> (2015), but attributed to James Naughtie’s </w:t>
      </w:r>
      <w:r w:rsidRPr="00BA327A">
        <w:rPr>
          <w:i/>
          <w:lang w:val="en-US"/>
        </w:rPr>
        <w:t>The Rivals</w:t>
      </w:r>
      <w:r>
        <w:rPr>
          <w:lang w:val="en-US"/>
        </w:rPr>
        <w:t xml:space="preserve"> (2001: 21).</w:t>
      </w:r>
    </w:p>
  </w:footnote>
  <w:footnote w:id="3">
    <w:p w14:paraId="723CD8A6" w14:textId="73225A2C" w:rsidR="00F10476" w:rsidRPr="0006558A" w:rsidRDefault="00F10476">
      <w:pPr>
        <w:pStyle w:val="FootnoteText"/>
        <w:rPr>
          <w:lang w:val="en-US"/>
        </w:rPr>
      </w:pPr>
      <w:r>
        <w:rPr>
          <w:rStyle w:val="FootnoteReference"/>
        </w:rPr>
        <w:footnoteRef/>
      </w:r>
      <w:r>
        <w:t xml:space="preserve"> </w:t>
      </w:r>
      <w:r>
        <w:rPr>
          <w:lang w:val="en-US"/>
        </w:rPr>
        <w:t xml:space="preserve">Note the small-n in ‘nationalist’ to make the point that ‘Scotland’ is the prime focus for people living in Scotland. Capital-N Nationalism implies voting for and identifying with the Scottish National Party. </w:t>
      </w:r>
    </w:p>
  </w:footnote>
  <w:footnote w:id="4">
    <w:p w14:paraId="2D1E57C6" w14:textId="1B13FBC3" w:rsidR="00F10476" w:rsidRPr="0006558A" w:rsidRDefault="00F10476">
      <w:pPr>
        <w:pStyle w:val="FootnoteText"/>
        <w:rPr>
          <w:lang w:val="en-US"/>
        </w:rPr>
      </w:pPr>
      <w:r>
        <w:rPr>
          <w:rStyle w:val="FootnoteReference"/>
        </w:rPr>
        <w:footnoteRef/>
      </w:r>
      <w:r>
        <w:t xml:space="preserve"> </w:t>
      </w:r>
      <w:r>
        <w:rPr>
          <w:lang w:val="en-US"/>
        </w:rPr>
        <w:t>By dint of a majority voting for Brexit, Wales appears to have bound itself more closely to England.</w:t>
      </w:r>
    </w:p>
  </w:footnote>
  <w:footnote w:id="5">
    <w:p w14:paraId="0EBEF2E3" w14:textId="4D6FD2CB" w:rsidR="00F10476" w:rsidRPr="00372976" w:rsidRDefault="00F10476">
      <w:pPr>
        <w:pStyle w:val="FootnoteText"/>
        <w:rPr>
          <w:lang w:val="en-US"/>
        </w:rPr>
      </w:pPr>
      <w:r>
        <w:rPr>
          <w:rStyle w:val="FootnoteReference"/>
        </w:rPr>
        <w:footnoteRef/>
      </w:r>
      <w:r>
        <w:t xml:space="preserve"> </w:t>
      </w:r>
      <w:r>
        <w:rPr>
          <w:lang w:val="en-US"/>
        </w:rPr>
        <w:t xml:space="preserve">Weber used it in the context of the relationship between the Protestant ethic and the spirit of capitalism. </w:t>
      </w:r>
    </w:p>
  </w:footnote>
  <w:footnote w:id="6">
    <w:p w14:paraId="23A58BC4" w14:textId="0C5365FF" w:rsidR="00F10476" w:rsidRPr="00F10476" w:rsidRDefault="00F10476">
      <w:pPr>
        <w:pStyle w:val="FootnoteText"/>
        <w:rPr>
          <w:lang w:val="en-US"/>
        </w:rPr>
      </w:pPr>
      <w:r>
        <w:rPr>
          <w:rStyle w:val="FootnoteReference"/>
        </w:rPr>
        <w:footnoteRef/>
      </w:r>
      <w:r>
        <w:t xml:space="preserve"> </w:t>
      </w:r>
      <w:r>
        <w:rPr>
          <w:lang w:val="en-US"/>
        </w:rPr>
        <w:t>The poem is available on the Scottish Poetry Library’s website (</w:t>
      </w:r>
      <w:r w:rsidRPr="00F10476">
        <w:rPr>
          <w:lang w:val="en-US"/>
        </w:rPr>
        <w:t>http://www.scottishpoetrylibrary.org.uk/poetry/poems/threshold</w:t>
      </w:r>
      <w:r>
        <w:rPr>
          <w:lang w:val="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EC0"/>
    <w:rsid w:val="0006558A"/>
    <w:rsid w:val="00077A1E"/>
    <w:rsid w:val="000B5889"/>
    <w:rsid w:val="00125CA5"/>
    <w:rsid w:val="0024562F"/>
    <w:rsid w:val="002B3DD0"/>
    <w:rsid w:val="002E299E"/>
    <w:rsid w:val="002F3BBA"/>
    <w:rsid w:val="00350E8D"/>
    <w:rsid w:val="0036698C"/>
    <w:rsid w:val="00372976"/>
    <w:rsid w:val="003E627B"/>
    <w:rsid w:val="003F6E9C"/>
    <w:rsid w:val="0044160F"/>
    <w:rsid w:val="00487D3E"/>
    <w:rsid w:val="004D59DB"/>
    <w:rsid w:val="004F5849"/>
    <w:rsid w:val="005B2715"/>
    <w:rsid w:val="00600600"/>
    <w:rsid w:val="00621EC0"/>
    <w:rsid w:val="006D150A"/>
    <w:rsid w:val="0076533C"/>
    <w:rsid w:val="007A113D"/>
    <w:rsid w:val="007A6685"/>
    <w:rsid w:val="00837BCF"/>
    <w:rsid w:val="00864B52"/>
    <w:rsid w:val="008770EC"/>
    <w:rsid w:val="008B4159"/>
    <w:rsid w:val="008D4A29"/>
    <w:rsid w:val="008F3BAB"/>
    <w:rsid w:val="009401B1"/>
    <w:rsid w:val="00AB2991"/>
    <w:rsid w:val="00AC1782"/>
    <w:rsid w:val="00B0668E"/>
    <w:rsid w:val="00B26323"/>
    <w:rsid w:val="00BA0337"/>
    <w:rsid w:val="00BA327A"/>
    <w:rsid w:val="00BB3380"/>
    <w:rsid w:val="00BE5D62"/>
    <w:rsid w:val="00BF2E6B"/>
    <w:rsid w:val="00C01B3B"/>
    <w:rsid w:val="00C51482"/>
    <w:rsid w:val="00CC7E50"/>
    <w:rsid w:val="00CD122A"/>
    <w:rsid w:val="00D00E1E"/>
    <w:rsid w:val="00D317D3"/>
    <w:rsid w:val="00D35763"/>
    <w:rsid w:val="00D83409"/>
    <w:rsid w:val="00DF22D3"/>
    <w:rsid w:val="00E06E65"/>
    <w:rsid w:val="00E724BE"/>
    <w:rsid w:val="00EA31DC"/>
    <w:rsid w:val="00F10476"/>
    <w:rsid w:val="00F45F55"/>
    <w:rsid w:val="00F56F08"/>
    <w:rsid w:val="00FC0A09"/>
    <w:rsid w:val="00FD02B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B5227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5F5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D4A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A113D"/>
  </w:style>
  <w:style w:type="character" w:customStyle="1" w:styleId="FootnoteTextChar">
    <w:name w:val="Footnote Text Char"/>
    <w:basedOn w:val="DefaultParagraphFont"/>
    <w:link w:val="FootnoteText"/>
    <w:uiPriority w:val="99"/>
    <w:rsid w:val="007A113D"/>
  </w:style>
  <w:style w:type="character" w:styleId="FootnoteReference">
    <w:name w:val="footnote reference"/>
    <w:basedOn w:val="DefaultParagraphFont"/>
    <w:uiPriority w:val="99"/>
    <w:unhideWhenUsed/>
    <w:rsid w:val="007A113D"/>
    <w:rPr>
      <w:vertAlign w:val="superscript"/>
    </w:rPr>
  </w:style>
  <w:style w:type="paragraph" w:styleId="Footer">
    <w:name w:val="footer"/>
    <w:basedOn w:val="Normal"/>
    <w:link w:val="FooterChar"/>
    <w:uiPriority w:val="99"/>
    <w:unhideWhenUsed/>
    <w:rsid w:val="00600600"/>
    <w:pPr>
      <w:tabs>
        <w:tab w:val="center" w:pos="4320"/>
        <w:tab w:val="right" w:pos="8640"/>
      </w:tabs>
    </w:pPr>
  </w:style>
  <w:style w:type="character" w:customStyle="1" w:styleId="FooterChar">
    <w:name w:val="Footer Char"/>
    <w:basedOn w:val="DefaultParagraphFont"/>
    <w:link w:val="Footer"/>
    <w:uiPriority w:val="99"/>
    <w:rsid w:val="00600600"/>
  </w:style>
  <w:style w:type="character" w:styleId="PageNumber">
    <w:name w:val="page number"/>
    <w:basedOn w:val="DefaultParagraphFont"/>
    <w:uiPriority w:val="99"/>
    <w:semiHidden/>
    <w:unhideWhenUsed/>
    <w:rsid w:val="00600600"/>
  </w:style>
  <w:style w:type="paragraph" w:styleId="NormalWeb">
    <w:name w:val="Normal (Web)"/>
    <w:basedOn w:val="Normal"/>
    <w:uiPriority w:val="99"/>
    <w:semiHidden/>
    <w:unhideWhenUsed/>
    <w:rsid w:val="002E299E"/>
    <w:pPr>
      <w:spacing w:before="100" w:beforeAutospacing="1" w:after="100" w:afterAutospacing="1"/>
    </w:pPr>
    <w:rPr>
      <w:rFonts w:ascii="Times" w:hAnsi="Times" w:cs="Times New Roman"/>
      <w:sz w:val="20"/>
      <w:szCs w:val="20"/>
    </w:rPr>
  </w:style>
  <w:style w:type="character" w:customStyle="1" w:styleId="Heading2Char">
    <w:name w:val="Heading 2 Char"/>
    <w:basedOn w:val="DefaultParagraphFont"/>
    <w:link w:val="Heading2"/>
    <w:uiPriority w:val="9"/>
    <w:rsid w:val="008D4A2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3F6E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6E9C"/>
    <w:rPr>
      <w:rFonts w:ascii="Lucida Grande" w:hAnsi="Lucida Grande" w:cs="Lucida Grande"/>
      <w:sz w:val="18"/>
      <w:szCs w:val="18"/>
    </w:rPr>
  </w:style>
  <w:style w:type="character" w:customStyle="1" w:styleId="Heading1Char">
    <w:name w:val="Heading 1 Char"/>
    <w:basedOn w:val="DefaultParagraphFont"/>
    <w:link w:val="Heading1"/>
    <w:uiPriority w:val="9"/>
    <w:rsid w:val="00F45F55"/>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F45F55"/>
    <w:pPr>
      <w:tabs>
        <w:tab w:val="center" w:pos="4513"/>
        <w:tab w:val="right" w:pos="9026"/>
      </w:tabs>
    </w:pPr>
  </w:style>
  <w:style w:type="character" w:customStyle="1" w:styleId="HeaderChar">
    <w:name w:val="Header Char"/>
    <w:basedOn w:val="DefaultParagraphFont"/>
    <w:link w:val="Header"/>
    <w:uiPriority w:val="99"/>
    <w:rsid w:val="00F45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3925024">
      <w:bodyDiv w:val="1"/>
      <w:marLeft w:val="0"/>
      <w:marRight w:val="0"/>
      <w:marTop w:val="0"/>
      <w:marBottom w:val="0"/>
      <w:divBdr>
        <w:top w:val="none" w:sz="0" w:space="0" w:color="auto"/>
        <w:left w:val="none" w:sz="0" w:space="0" w:color="auto"/>
        <w:bottom w:val="none" w:sz="0" w:space="0" w:color="auto"/>
        <w:right w:val="none" w:sz="0" w:space="0" w:color="auto"/>
      </w:divBdr>
      <w:divsChild>
        <w:div w:id="1284264778">
          <w:marLeft w:val="0"/>
          <w:marRight w:val="0"/>
          <w:marTop w:val="0"/>
          <w:marBottom w:val="0"/>
          <w:divBdr>
            <w:top w:val="none" w:sz="0" w:space="0" w:color="auto"/>
            <w:left w:val="none" w:sz="0" w:space="0" w:color="auto"/>
            <w:bottom w:val="none" w:sz="0" w:space="0" w:color="auto"/>
            <w:right w:val="none" w:sz="0" w:space="0" w:color="auto"/>
          </w:divBdr>
          <w:divsChild>
            <w:div w:id="171457746">
              <w:marLeft w:val="0"/>
              <w:marRight w:val="0"/>
              <w:marTop w:val="0"/>
              <w:marBottom w:val="0"/>
              <w:divBdr>
                <w:top w:val="none" w:sz="0" w:space="0" w:color="auto"/>
                <w:left w:val="none" w:sz="0" w:space="0" w:color="auto"/>
                <w:bottom w:val="none" w:sz="0" w:space="0" w:color="auto"/>
                <w:right w:val="none" w:sz="0" w:space="0" w:color="auto"/>
              </w:divBdr>
              <w:divsChild>
                <w:div w:id="196249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diagramData" Target="diagrams/data1.xml"/><Relationship Id="rId7" Type="http://schemas.openxmlformats.org/officeDocument/2006/relationships/diagramLayout" Target="diagrams/layout1.xml"/><Relationship Id="rId8" Type="http://schemas.openxmlformats.org/officeDocument/2006/relationships/diagramQuickStyle" Target="diagrams/quickStyle1.xml"/><Relationship Id="rId9" Type="http://schemas.openxmlformats.org/officeDocument/2006/relationships/diagramColors" Target="diagrams/colors1.xml"/><Relationship Id="rId10"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06F2A9-184D-7D42-AB4B-F201B3B2FC51}" type="doc">
      <dgm:prSet loTypeId="urn:microsoft.com/office/officeart/2009/3/layout/DescendingProcess" loCatId="" qsTypeId="urn:microsoft.com/office/officeart/2005/8/quickstyle/simple4" qsCatId="simple" csTypeId="urn:microsoft.com/office/officeart/2005/8/colors/accent1_2" csCatId="accent1" phldr="1"/>
      <dgm:spPr/>
      <dgm:t>
        <a:bodyPr/>
        <a:lstStyle/>
        <a:p>
          <a:endParaRPr lang="en-US"/>
        </a:p>
      </dgm:t>
    </dgm:pt>
    <dgm:pt modelId="{ECB2C626-52EB-4A42-8921-248B0625BDDA}">
      <dgm:prSet phldrT="[Text]" custT="1"/>
      <dgm:spPr/>
      <dgm:t>
        <a:bodyPr/>
        <a:lstStyle/>
        <a:p>
          <a:endParaRPr lang="en-US" sz="1200"/>
        </a:p>
      </dgm:t>
    </dgm:pt>
    <dgm:pt modelId="{0ED0901D-9CB9-AB4D-95DE-1B8D0B74FA6F}" type="parTrans" cxnId="{C6A10AF6-4B58-B640-80A5-2E1496DA29F5}">
      <dgm:prSet/>
      <dgm:spPr/>
      <dgm:t>
        <a:bodyPr/>
        <a:lstStyle/>
        <a:p>
          <a:endParaRPr lang="en-US"/>
        </a:p>
      </dgm:t>
    </dgm:pt>
    <dgm:pt modelId="{E0324C34-E14B-A343-95C7-5D77B1B0975A}" type="sibTrans" cxnId="{C6A10AF6-4B58-B640-80A5-2E1496DA29F5}">
      <dgm:prSet/>
      <dgm:spPr/>
      <dgm:t>
        <a:bodyPr/>
        <a:lstStyle/>
        <a:p>
          <a:endParaRPr lang="en-US"/>
        </a:p>
      </dgm:t>
    </dgm:pt>
    <dgm:pt modelId="{FF92282A-EE40-F14E-A396-B9805C5E56DC}">
      <dgm:prSet phldrT="[Text]" custT="1"/>
      <dgm:spPr/>
      <dgm:t>
        <a:bodyPr/>
        <a:lstStyle/>
        <a:p>
          <a:r>
            <a:rPr lang="en-US" sz="1200" dirty="0" smtClean="0"/>
            <a:t>ScIndyRef1 </a:t>
          </a:r>
          <a:r>
            <a:rPr lang="en-US" sz="1200" dirty="0"/>
            <a:t>2014</a:t>
          </a:r>
        </a:p>
      </dgm:t>
    </dgm:pt>
    <dgm:pt modelId="{3EE42180-CD5E-A74B-B458-0A3C8202B0C9}" type="parTrans" cxnId="{14A234A9-C973-D04D-A5DA-AA77FB174D92}">
      <dgm:prSet/>
      <dgm:spPr/>
      <dgm:t>
        <a:bodyPr/>
        <a:lstStyle/>
        <a:p>
          <a:endParaRPr lang="en-US"/>
        </a:p>
      </dgm:t>
    </dgm:pt>
    <dgm:pt modelId="{1296B59C-9945-3A40-BF3F-2EF0C6ACDF07}" type="sibTrans" cxnId="{14A234A9-C973-D04D-A5DA-AA77FB174D92}">
      <dgm:prSet/>
      <dgm:spPr/>
      <dgm:t>
        <a:bodyPr/>
        <a:lstStyle/>
        <a:p>
          <a:endParaRPr lang="en-US"/>
        </a:p>
      </dgm:t>
    </dgm:pt>
    <dgm:pt modelId="{22F8E852-38FB-D74D-B9C5-C9FF5009ED0B}">
      <dgm:prSet phldrT="[Text]" custT="1"/>
      <dgm:spPr/>
      <dgm:t>
        <a:bodyPr/>
        <a:lstStyle/>
        <a:p>
          <a:endParaRPr lang="en-US" sz="1100" dirty="0"/>
        </a:p>
      </dgm:t>
    </dgm:pt>
    <dgm:pt modelId="{7B89E147-CD97-4E40-B9FA-7866DC805959}" type="parTrans" cxnId="{D67D6CFA-2414-8849-9A50-FB8FC4335A42}">
      <dgm:prSet/>
      <dgm:spPr/>
      <dgm:t>
        <a:bodyPr/>
        <a:lstStyle/>
        <a:p>
          <a:endParaRPr lang="en-US"/>
        </a:p>
      </dgm:t>
    </dgm:pt>
    <dgm:pt modelId="{3ECA49CC-1B11-AB45-9113-E88923D93B56}" type="sibTrans" cxnId="{D67D6CFA-2414-8849-9A50-FB8FC4335A42}">
      <dgm:prSet/>
      <dgm:spPr/>
      <dgm:t>
        <a:bodyPr/>
        <a:lstStyle/>
        <a:p>
          <a:endParaRPr lang="en-US"/>
        </a:p>
      </dgm:t>
    </dgm:pt>
    <dgm:pt modelId="{083C2612-1440-2849-95A6-5C1FFF99980D}">
      <dgm:prSet phldrT="[Text]" custT="1"/>
      <dgm:spPr/>
      <dgm:t>
        <a:bodyPr/>
        <a:lstStyle/>
        <a:p>
          <a:r>
            <a:rPr lang="en-US" sz="1200" dirty="0"/>
            <a:t>UK election </a:t>
          </a:r>
          <a:r>
            <a:rPr lang="en-US" sz="1200" dirty="0" smtClean="0"/>
            <a:t>2015 (Cons)</a:t>
          </a:r>
          <a:endParaRPr lang="en-US" sz="1200" dirty="0"/>
        </a:p>
      </dgm:t>
    </dgm:pt>
    <dgm:pt modelId="{07E40EEC-FD93-B643-AF5C-E9609453E2D4}" type="parTrans" cxnId="{AE14608B-D4D6-914F-99DA-235966EC475E}">
      <dgm:prSet/>
      <dgm:spPr/>
      <dgm:t>
        <a:bodyPr/>
        <a:lstStyle/>
        <a:p>
          <a:endParaRPr lang="en-US"/>
        </a:p>
      </dgm:t>
    </dgm:pt>
    <dgm:pt modelId="{8B33983B-D53A-BE4D-A87B-0448294A53A9}" type="sibTrans" cxnId="{AE14608B-D4D6-914F-99DA-235966EC475E}">
      <dgm:prSet/>
      <dgm:spPr/>
      <dgm:t>
        <a:bodyPr/>
        <a:lstStyle/>
        <a:p>
          <a:endParaRPr lang="en-US"/>
        </a:p>
      </dgm:t>
    </dgm:pt>
    <dgm:pt modelId="{8200A09B-3FCB-A44F-B1EA-C6D9A26A1746}">
      <dgm:prSet phldrT="[Text]" custT="1"/>
      <dgm:spPr/>
      <dgm:t>
        <a:bodyPr/>
        <a:lstStyle/>
        <a:p>
          <a:endParaRPr lang="en-US" sz="1100" dirty="0" smtClean="0"/>
        </a:p>
        <a:p>
          <a:endParaRPr lang="en-US" sz="1100" dirty="0"/>
        </a:p>
      </dgm:t>
    </dgm:pt>
    <dgm:pt modelId="{7D325714-C52D-F14F-89EA-7811E69F1C36}" type="parTrans" cxnId="{7B36166D-D2B4-224F-B2D9-AD964AE1574D}">
      <dgm:prSet/>
      <dgm:spPr/>
      <dgm:t>
        <a:bodyPr/>
        <a:lstStyle/>
        <a:p>
          <a:endParaRPr lang="en-US"/>
        </a:p>
      </dgm:t>
    </dgm:pt>
    <dgm:pt modelId="{584C0427-29F4-484A-9EEE-925D5B00FBCF}" type="sibTrans" cxnId="{7B36166D-D2B4-224F-B2D9-AD964AE1574D}">
      <dgm:prSet/>
      <dgm:spPr/>
      <dgm:t>
        <a:bodyPr/>
        <a:lstStyle/>
        <a:p>
          <a:endParaRPr lang="en-US"/>
        </a:p>
      </dgm:t>
    </dgm:pt>
    <dgm:pt modelId="{157E3AD3-8573-FC4A-9BE8-6653E4358C61}">
      <dgm:prSet phldrT="[Text]" custT="1"/>
      <dgm:spPr/>
      <dgm:t>
        <a:bodyPr/>
        <a:lstStyle/>
        <a:p>
          <a:r>
            <a:rPr lang="en-US" sz="1200" dirty="0">
              <a:solidFill>
                <a:schemeClr val="tx1"/>
              </a:solidFill>
            </a:rPr>
            <a:t>Sc </a:t>
          </a:r>
          <a:r>
            <a:rPr lang="en-US" sz="1200" dirty="0" err="1">
              <a:solidFill>
                <a:schemeClr val="tx1"/>
              </a:solidFill>
            </a:rPr>
            <a:t>Parl</a:t>
          </a:r>
          <a:r>
            <a:rPr lang="en-US" sz="1200" dirty="0">
              <a:solidFill>
                <a:schemeClr val="tx1"/>
              </a:solidFill>
            </a:rPr>
            <a:t>  election </a:t>
          </a:r>
          <a:r>
            <a:rPr lang="en-US" sz="1200" dirty="0" smtClean="0">
              <a:solidFill>
                <a:schemeClr val="tx1"/>
              </a:solidFill>
            </a:rPr>
            <a:t>2016 (SNP)</a:t>
          </a:r>
          <a:endParaRPr lang="en-US" sz="1200" dirty="0">
            <a:solidFill>
              <a:schemeClr val="tx1"/>
            </a:solidFill>
          </a:endParaRPr>
        </a:p>
      </dgm:t>
    </dgm:pt>
    <dgm:pt modelId="{D7DAFD59-17C3-7046-85F5-DE22D48ADB08}" type="parTrans" cxnId="{A55774FB-7DD7-DD45-94DD-05E9BDC5C47E}">
      <dgm:prSet/>
      <dgm:spPr/>
      <dgm:t>
        <a:bodyPr/>
        <a:lstStyle/>
        <a:p>
          <a:endParaRPr lang="en-US"/>
        </a:p>
      </dgm:t>
    </dgm:pt>
    <dgm:pt modelId="{E6030A23-F0D4-1540-8B83-5CF697135C66}" type="sibTrans" cxnId="{A55774FB-7DD7-DD45-94DD-05E9BDC5C47E}">
      <dgm:prSet/>
      <dgm:spPr/>
      <dgm:t>
        <a:bodyPr/>
        <a:lstStyle/>
        <a:p>
          <a:endParaRPr lang="en-US"/>
        </a:p>
      </dgm:t>
    </dgm:pt>
    <dgm:pt modelId="{65C9F3C0-CC21-DF49-9E6A-41B4F05506DD}">
      <dgm:prSet custT="1"/>
      <dgm:spPr/>
      <dgm:t>
        <a:bodyPr/>
        <a:lstStyle/>
        <a:p>
          <a:r>
            <a:rPr lang="en-US" sz="1200" dirty="0" err="1">
              <a:solidFill>
                <a:schemeClr val="tx1"/>
              </a:solidFill>
            </a:rPr>
            <a:t>Brexit</a:t>
          </a:r>
          <a:r>
            <a:rPr lang="en-US" sz="1200" dirty="0">
              <a:solidFill>
                <a:schemeClr val="tx1"/>
              </a:solidFill>
            </a:rPr>
            <a:t> Ref </a:t>
          </a:r>
          <a:r>
            <a:rPr lang="en-US" sz="1200" dirty="0" smtClean="0">
              <a:solidFill>
                <a:schemeClr val="tx1"/>
              </a:solidFill>
            </a:rPr>
            <a:t>2016 (Leave)</a:t>
          </a:r>
          <a:endParaRPr lang="en-US" sz="1200" dirty="0">
            <a:solidFill>
              <a:schemeClr val="tx1"/>
            </a:solidFill>
          </a:endParaRPr>
        </a:p>
      </dgm:t>
    </dgm:pt>
    <dgm:pt modelId="{7C791E72-65FA-3B42-A26C-382AD708D87C}" type="parTrans" cxnId="{D281069C-0197-6345-A662-38E2573A2346}">
      <dgm:prSet/>
      <dgm:spPr/>
      <dgm:t>
        <a:bodyPr/>
        <a:lstStyle/>
        <a:p>
          <a:endParaRPr lang="en-US"/>
        </a:p>
      </dgm:t>
    </dgm:pt>
    <dgm:pt modelId="{F2F8B27F-5144-0A4D-BA8A-6CF7C4C42D8C}" type="sibTrans" cxnId="{D281069C-0197-6345-A662-38E2573A2346}">
      <dgm:prSet/>
      <dgm:spPr/>
      <dgm:t>
        <a:bodyPr/>
        <a:lstStyle/>
        <a:p>
          <a:endParaRPr lang="en-US"/>
        </a:p>
      </dgm:t>
    </dgm:pt>
    <dgm:pt modelId="{3A75AD91-A64A-5642-B79B-BE2612A2FF59}">
      <dgm:prSet phldrT="[Text]"/>
      <dgm:spPr/>
      <dgm:t>
        <a:bodyPr/>
        <a:lstStyle/>
        <a:p>
          <a:endParaRPr lang="en-US" sz="600" dirty="0"/>
        </a:p>
      </dgm:t>
    </dgm:pt>
    <dgm:pt modelId="{0718DF6A-CA74-8E4D-B08B-29913F4AE0C7}" type="parTrans" cxnId="{A08FDBAD-0B29-7C45-9E0F-E87B5A66C237}">
      <dgm:prSet/>
      <dgm:spPr/>
      <dgm:t>
        <a:bodyPr/>
        <a:lstStyle/>
        <a:p>
          <a:endParaRPr lang="en-US"/>
        </a:p>
      </dgm:t>
    </dgm:pt>
    <dgm:pt modelId="{A051F70F-B702-7341-A4E7-3B17DBB0ABEA}" type="sibTrans" cxnId="{A08FDBAD-0B29-7C45-9E0F-E87B5A66C237}">
      <dgm:prSet/>
      <dgm:spPr/>
      <dgm:t>
        <a:bodyPr/>
        <a:lstStyle/>
        <a:p>
          <a:endParaRPr lang="en-US"/>
        </a:p>
      </dgm:t>
    </dgm:pt>
    <dgm:pt modelId="{E22ED32A-D19D-F544-AFF3-7B03FB310464}">
      <dgm:prSet custT="1"/>
      <dgm:spPr/>
      <dgm:t>
        <a:bodyPr/>
        <a:lstStyle/>
        <a:p>
          <a:r>
            <a:rPr lang="en-US" sz="1200" dirty="0"/>
            <a:t>ScIndyRef2? '</a:t>
          </a:r>
          <a:r>
            <a:rPr lang="en-US" sz="1200" i="1" dirty="0"/>
            <a:t>Do You Agree that Scotland should be an independent country </a:t>
          </a:r>
          <a:r>
            <a:rPr lang="en-US" sz="1200" b="1" i="1" dirty="0">
              <a:solidFill>
                <a:srgbClr val="FF0000"/>
              </a:solidFill>
            </a:rPr>
            <a:t>within the EU</a:t>
          </a:r>
          <a:r>
            <a:rPr lang="en-US" sz="1200" b="1" dirty="0">
              <a:solidFill>
                <a:srgbClr val="FF0000"/>
              </a:solidFill>
            </a:rPr>
            <a:t>?</a:t>
          </a:r>
          <a:r>
            <a:rPr lang="en-US" sz="1200" dirty="0"/>
            <a:t>'</a:t>
          </a:r>
        </a:p>
      </dgm:t>
    </dgm:pt>
    <dgm:pt modelId="{E895EBEE-7C28-4542-95A8-E92F8F3F0D00}" type="parTrans" cxnId="{29A1C151-0D24-EB42-9D4C-5D819AF3E282}">
      <dgm:prSet/>
      <dgm:spPr/>
      <dgm:t>
        <a:bodyPr/>
        <a:lstStyle/>
        <a:p>
          <a:endParaRPr lang="en-US"/>
        </a:p>
      </dgm:t>
    </dgm:pt>
    <dgm:pt modelId="{D6831142-60C3-8546-B3E5-9FDBBE3AFB6D}" type="sibTrans" cxnId="{29A1C151-0D24-EB42-9D4C-5D819AF3E282}">
      <dgm:prSet/>
      <dgm:spPr/>
      <dgm:t>
        <a:bodyPr/>
        <a:lstStyle/>
        <a:p>
          <a:endParaRPr lang="en-US"/>
        </a:p>
      </dgm:t>
    </dgm:pt>
    <dgm:pt modelId="{25705F00-F346-CD47-82C0-70E69595B541}" type="pres">
      <dgm:prSet presAssocID="{4706F2A9-184D-7D42-AB4B-F201B3B2FC51}" presName="Name0" presStyleCnt="0">
        <dgm:presLayoutVars>
          <dgm:chMax val="7"/>
          <dgm:chPref val="5"/>
        </dgm:presLayoutVars>
      </dgm:prSet>
      <dgm:spPr/>
      <dgm:t>
        <a:bodyPr/>
        <a:lstStyle/>
        <a:p>
          <a:endParaRPr lang="en-US"/>
        </a:p>
      </dgm:t>
    </dgm:pt>
    <dgm:pt modelId="{92315613-6CEA-E342-9AF5-9B864F3DEF78}" type="pres">
      <dgm:prSet presAssocID="{4706F2A9-184D-7D42-AB4B-F201B3B2FC51}" presName="arrowNode" presStyleLbl="node1" presStyleIdx="0" presStyleCnt="1"/>
      <dgm:spPr/>
    </dgm:pt>
    <dgm:pt modelId="{F57BBE06-E0EA-D043-B5E0-B8BE9736DEA5}" type="pres">
      <dgm:prSet presAssocID="{ECB2C626-52EB-4A42-8921-248B0625BDDA}" presName="txNode1" presStyleLbl="revTx" presStyleIdx="0" presStyleCnt="5">
        <dgm:presLayoutVars>
          <dgm:bulletEnabled val="1"/>
        </dgm:presLayoutVars>
      </dgm:prSet>
      <dgm:spPr/>
      <dgm:t>
        <a:bodyPr/>
        <a:lstStyle/>
        <a:p>
          <a:endParaRPr lang="en-US"/>
        </a:p>
      </dgm:t>
    </dgm:pt>
    <dgm:pt modelId="{9B3D6AD5-1D10-244E-8AA7-C407E012A6A8}" type="pres">
      <dgm:prSet presAssocID="{22F8E852-38FB-D74D-B9C5-C9FF5009ED0B}" presName="txNode2" presStyleLbl="revTx" presStyleIdx="1" presStyleCnt="5" custAng="0" custScaleX="91495" custScaleY="120003">
        <dgm:presLayoutVars>
          <dgm:bulletEnabled val="1"/>
        </dgm:presLayoutVars>
      </dgm:prSet>
      <dgm:spPr/>
      <dgm:t>
        <a:bodyPr/>
        <a:lstStyle/>
        <a:p>
          <a:endParaRPr lang="en-US"/>
        </a:p>
      </dgm:t>
    </dgm:pt>
    <dgm:pt modelId="{477D7733-6A01-0446-9520-1CE50E755306}" type="pres">
      <dgm:prSet presAssocID="{3ECA49CC-1B11-AB45-9113-E88923D93B56}" presName="dotNode2" presStyleCnt="0"/>
      <dgm:spPr/>
    </dgm:pt>
    <dgm:pt modelId="{F96E58FE-07B2-DA49-8A73-8304B50F8A21}" type="pres">
      <dgm:prSet presAssocID="{3ECA49CC-1B11-AB45-9113-E88923D93B56}" presName="dotRepeatNode" presStyleLbl="fgShp" presStyleIdx="0" presStyleCnt="3"/>
      <dgm:spPr/>
      <dgm:t>
        <a:bodyPr/>
        <a:lstStyle/>
        <a:p>
          <a:endParaRPr lang="en-US"/>
        </a:p>
      </dgm:t>
    </dgm:pt>
    <dgm:pt modelId="{344F0FD2-5ECB-7A4A-9E40-1768529CAD3B}" type="pres">
      <dgm:prSet presAssocID="{8200A09B-3FCB-A44F-B1EA-C6D9A26A1746}" presName="txNode3" presStyleLbl="revTx" presStyleIdx="2" presStyleCnt="5" custScaleX="117234" custScaleY="125665">
        <dgm:presLayoutVars>
          <dgm:bulletEnabled val="1"/>
        </dgm:presLayoutVars>
      </dgm:prSet>
      <dgm:spPr/>
      <dgm:t>
        <a:bodyPr/>
        <a:lstStyle/>
        <a:p>
          <a:endParaRPr lang="en-US"/>
        </a:p>
      </dgm:t>
    </dgm:pt>
    <dgm:pt modelId="{C4A5AF52-D2A9-4644-89EA-B5F9D413223C}" type="pres">
      <dgm:prSet presAssocID="{584C0427-29F4-484A-9EEE-925D5B00FBCF}" presName="dotNode3" presStyleCnt="0"/>
      <dgm:spPr/>
    </dgm:pt>
    <dgm:pt modelId="{55FEA793-FF81-9B4A-AE51-4E306034CD02}" type="pres">
      <dgm:prSet presAssocID="{584C0427-29F4-484A-9EEE-925D5B00FBCF}" presName="dotRepeatNode" presStyleLbl="fgShp" presStyleIdx="1" presStyleCnt="3"/>
      <dgm:spPr/>
      <dgm:t>
        <a:bodyPr/>
        <a:lstStyle/>
        <a:p>
          <a:endParaRPr lang="en-US"/>
        </a:p>
      </dgm:t>
    </dgm:pt>
    <dgm:pt modelId="{1170FC50-E0D0-E54C-9601-C57A88139EA8}" type="pres">
      <dgm:prSet presAssocID="{65C9F3C0-CC21-DF49-9E6A-41B4F05506DD}" presName="txNode4" presStyleLbl="revTx" presStyleIdx="3" presStyleCnt="5" custLinFactNeighborX="1845" custLinFactNeighborY="-2096">
        <dgm:presLayoutVars>
          <dgm:bulletEnabled val="1"/>
        </dgm:presLayoutVars>
      </dgm:prSet>
      <dgm:spPr/>
      <dgm:t>
        <a:bodyPr/>
        <a:lstStyle/>
        <a:p>
          <a:endParaRPr lang="en-US"/>
        </a:p>
      </dgm:t>
    </dgm:pt>
    <dgm:pt modelId="{1826051C-2DCA-884B-812D-247AE0C7C19A}" type="pres">
      <dgm:prSet presAssocID="{F2F8B27F-5144-0A4D-BA8A-6CF7C4C42D8C}" presName="dotNode4" presStyleCnt="0"/>
      <dgm:spPr/>
    </dgm:pt>
    <dgm:pt modelId="{9B2275AC-9942-2F48-8572-1B25966FC3E0}" type="pres">
      <dgm:prSet presAssocID="{F2F8B27F-5144-0A4D-BA8A-6CF7C4C42D8C}" presName="dotRepeatNode" presStyleLbl="fgShp" presStyleIdx="2" presStyleCnt="3"/>
      <dgm:spPr/>
      <dgm:t>
        <a:bodyPr/>
        <a:lstStyle/>
        <a:p>
          <a:endParaRPr lang="en-US"/>
        </a:p>
      </dgm:t>
    </dgm:pt>
    <dgm:pt modelId="{2C145023-2EEF-1543-AD56-B38E372FD339}" type="pres">
      <dgm:prSet presAssocID="{E22ED32A-D19D-F544-AFF3-7B03FB310464}" presName="txNode5" presStyleLbl="revTx" presStyleIdx="4" presStyleCnt="5">
        <dgm:presLayoutVars>
          <dgm:bulletEnabled val="1"/>
        </dgm:presLayoutVars>
      </dgm:prSet>
      <dgm:spPr/>
      <dgm:t>
        <a:bodyPr/>
        <a:lstStyle/>
        <a:p>
          <a:endParaRPr lang="en-US"/>
        </a:p>
      </dgm:t>
    </dgm:pt>
  </dgm:ptLst>
  <dgm:cxnLst>
    <dgm:cxn modelId="{55AB6AFC-1B1E-B24E-A3D4-3FA114301A42}" type="presOf" srcId="{083C2612-1440-2849-95A6-5C1FFF99980D}" destId="{9B3D6AD5-1D10-244E-8AA7-C407E012A6A8}" srcOrd="0" destOrd="1" presId="urn:microsoft.com/office/officeart/2009/3/layout/DescendingProcess"/>
    <dgm:cxn modelId="{D63DC9C3-D690-D740-95D8-59F3CD4D90C9}" type="presOf" srcId="{3ECA49CC-1B11-AB45-9113-E88923D93B56}" destId="{F96E58FE-07B2-DA49-8A73-8304B50F8A21}" srcOrd="0" destOrd="0" presId="urn:microsoft.com/office/officeart/2009/3/layout/DescendingProcess"/>
    <dgm:cxn modelId="{65E1D651-96F2-2E42-835C-F789168E1604}" type="presOf" srcId="{8200A09B-3FCB-A44F-B1EA-C6D9A26A1746}" destId="{344F0FD2-5ECB-7A4A-9E40-1768529CAD3B}" srcOrd="0" destOrd="0" presId="urn:microsoft.com/office/officeart/2009/3/layout/DescendingProcess"/>
    <dgm:cxn modelId="{C9A80EC3-CA53-6D4C-B342-1CDD70A33EAD}" type="presOf" srcId="{ECB2C626-52EB-4A42-8921-248B0625BDDA}" destId="{F57BBE06-E0EA-D043-B5E0-B8BE9736DEA5}" srcOrd="0" destOrd="0" presId="urn:microsoft.com/office/officeart/2009/3/layout/DescendingProcess"/>
    <dgm:cxn modelId="{4258D90D-A743-BE4E-A2E7-675F9613E321}" type="presOf" srcId="{65C9F3C0-CC21-DF49-9E6A-41B4F05506DD}" destId="{1170FC50-E0D0-E54C-9601-C57A88139EA8}" srcOrd="0" destOrd="0" presId="urn:microsoft.com/office/officeart/2009/3/layout/DescendingProcess"/>
    <dgm:cxn modelId="{1DC9F185-79FF-2A4E-8A05-B2F88291ADF3}" type="presOf" srcId="{FF92282A-EE40-F14E-A396-B9805C5E56DC}" destId="{F57BBE06-E0EA-D043-B5E0-B8BE9736DEA5}" srcOrd="0" destOrd="1" presId="urn:microsoft.com/office/officeart/2009/3/layout/DescendingProcess"/>
    <dgm:cxn modelId="{AE14608B-D4D6-914F-99DA-235966EC475E}" srcId="{22F8E852-38FB-D74D-B9C5-C9FF5009ED0B}" destId="{083C2612-1440-2849-95A6-5C1FFF99980D}" srcOrd="0" destOrd="0" parTransId="{07E40EEC-FD93-B643-AF5C-E9609453E2D4}" sibTransId="{8B33983B-D53A-BE4D-A87B-0448294A53A9}"/>
    <dgm:cxn modelId="{29A1C151-0D24-EB42-9D4C-5D819AF3E282}" srcId="{4706F2A9-184D-7D42-AB4B-F201B3B2FC51}" destId="{E22ED32A-D19D-F544-AFF3-7B03FB310464}" srcOrd="4" destOrd="0" parTransId="{E895EBEE-7C28-4542-95A8-E92F8F3F0D00}" sibTransId="{D6831142-60C3-8546-B3E5-9FDBBE3AFB6D}"/>
    <dgm:cxn modelId="{D281069C-0197-6345-A662-38E2573A2346}" srcId="{4706F2A9-184D-7D42-AB4B-F201B3B2FC51}" destId="{65C9F3C0-CC21-DF49-9E6A-41B4F05506DD}" srcOrd="3" destOrd="0" parTransId="{7C791E72-65FA-3B42-A26C-382AD708D87C}" sibTransId="{F2F8B27F-5144-0A4D-BA8A-6CF7C4C42D8C}"/>
    <dgm:cxn modelId="{A08FDBAD-0B29-7C45-9E0F-E87B5A66C237}" srcId="{8200A09B-3FCB-A44F-B1EA-C6D9A26A1746}" destId="{3A75AD91-A64A-5642-B79B-BE2612A2FF59}" srcOrd="1" destOrd="0" parTransId="{0718DF6A-CA74-8E4D-B08B-29913F4AE0C7}" sibTransId="{A051F70F-B702-7341-A4E7-3B17DBB0ABEA}"/>
    <dgm:cxn modelId="{C6A10AF6-4B58-B640-80A5-2E1496DA29F5}" srcId="{4706F2A9-184D-7D42-AB4B-F201B3B2FC51}" destId="{ECB2C626-52EB-4A42-8921-248B0625BDDA}" srcOrd="0" destOrd="0" parTransId="{0ED0901D-9CB9-AB4D-95DE-1B8D0B74FA6F}" sibTransId="{E0324C34-E14B-A343-95C7-5D77B1B0975A}"/>
    <dgm:cxn modelId="{25956CEF-F072-CB41-83E2-620174FAB4FB}" type="presOf" srcId="{4706F2A9-184D-7D42-AB4B-F201B3B2FC51}" destId="{25705F00-F346-CD47-82C0-70E69595B541}" srcOrd="0" destOrd="0" presId="urn:microsoft.com/office/officeart/2009/3/layout/DescendingProcess"/>
    <dgm:cxn modelId="{C38713DD-C73C-BD49-916C-E5E5C3B81DE2}" type="presOf" srcId="{3A75AD91-A64A-5642-B79B-BE2612A2FF59}" destId="{344F0FD2-5ECB-7A4A-9E40-1768529CAD3B}" srcOrd="0" destOrd="2" presId="urn:microsoft.com/office/officeart/2009/3/layout/DescendingProcess"/>
    <dgm:cxn modelId="{10F54C0D-28FE-004F-9688-14EDBAEDA6E1}" type="presOf" srcId="{E22ED32A-D19D-F544-AFF3-7B03FB310464}" destId="{2C145023-2EEF-1543-AD56-B38E372FD339}" srcOrd="0" destOrd="0" presId="urn:microsoft.com/office/officeart/2009/3/layout/DescendingProcess"/>
    <dgm:cxn modelId="{D67D6CFA-2414-8849-9A50-FB8FC4335A42}" srcId="{4706F2A9-184D-7D42-AB4B-F201B3B2FC51}" destId="{22F8E852-38FB-D74D-B9C5-C9FF5009ED0B}" srcOrd="1" destOrd="0" parTransId="{7B89E147-CD97-4E40-B9FA-7866DC805959}" sibTransId="{3ECA49CC-1B11-AB45-9113-E88923D93B56}"/>
    <dgm:cxn modelId="{7B36166D-D2B4-224F-B2D9-AD964AE1574D}" srcId="{4706F2A9-184D-7D42-AB4B-F201B3B2FC51}" destId="{8200A09B-3FCB-A44F-B1EA-C6D9A26A1746}" srcOrd="2" destOrd="0" parTransId="{7D325714-C52D-F14F-89EA-7811E69F1C36}" sibTransId="{584C0427-29F4-484A-9EEE-925D5B00FBCF}"/>
    <dgm:cxn modelId="{D21CFA7A-7EB8-8D45-BCD9-41962F5111FE}" type="presOf" srcId="{157E3AD3-8573-FC4A-9BE8-6653E4358C61}" destId="{344F0FD2-5ECB-7A4A-9E40-1768529CAD3B}" srcOrd="0" destOrd="1" presId="urn:microsoft.com/office/officeart/2009/3/layout/DescendingProcess"/>
    <dgm:cxn modelId="{1E0BD60D-3E89-1446-AC80-93E4FC70409B}" type="presOf" srcId="{584C0427-29F4-484A-9EEE-925D5B00FBCF}" destId="{55FEA793-FF81-9B4A-AE51-4E306034CD02}" srcOrd="0" destOrd="0" presId="urn:microsoft.com/office/officeart/2009/3/layout/DescendingProcess"/>
    <dgm:cxn modelId="{DD9111E0-8D37-EF43-BB20-884448CED883}" type="presOf" srcId="{F2F8B27F-5144-0A4D-BA8A-6CF7C4C42D8C}" destId="{9B2275AC-9942-2F48-8572-1B25966FC3E0}" srcOrd="0" destOrd="0" presId="urn:microsoft.com/office/officeart/2009/3/layout/DescendingProcess"/>
    <dgm:cxn modelId="{0B813F4D-580E-2B46-AAFC-B610B2B39EAC}" type="presOf" srcId="{22F8E852-38FB-D74D-B9C5-C9FF5009ED0B}" destId="{9B3D6AD5-1D10-244E-8AA7-C407E012A6A8}" srcOrd="0" destOrd="0" presId="urn:microsoft.com/office/officeart/2009/3/layout/DescendingProcess"/>
    <dgm:cxn modelId="{A55774FB-7DD7-DD45-94DD-05E9BDC5C47E}" srcId="{8200A09B-3FCB-A44F-B1EA-C6D9A26A1746}" destId="{157E3AD3-8573-FC4A-9BE8-6653E4358C61}" srcOrd="0" destOrd="0" parTransId="{D7DAFD59-17C3-7046-85F5-DE22D48ADB08}" sibTransId="{E6030A23-F0D4-1540-8B83-5CF697135C66}"/>
    <dgm:cxn modelId="{14A234A9-C973-D04D-A5DA-AA77FB174D92}" srcId="{ECB2C626-52EB-4A42-8921-248B0625BDDA}" destId="{FF92282A-EE40-F14E-A396-B9805C5E56DC}" srcOrd="0" destOrd="0" parTransId="{3EE42180-CD5E-A74B-B458-0A3C8202B0C9}" sibTransId="{1296B59C-9945-3A40-BF3F-2EF0C6ACDF07}"/>
    <dgm:cxn modelId="{6B497805-F8D4-5A4E-A1EA-FB02EF0F1D37}" type="presParOf" srcId="{25705F00-F346-CD47-82C0-70E69595B541}" destId="{92315613-6CEA-E342-9AF5-9B864F3DEF78}" srcOrd="0" destOrd="0" presId="urn:microsoft.com/office/officeart/2009/3/layout/DescendingProcess"/>
    <dgm:cxn modelId="{BA7D09A1-9556-3D44-9E64-D5A20591E701}" type="presParOf" srcId="{25705F00-F346-CD47-82C0-70E69595B541}" destId="{F57BBE06-E0EA-D043-B5E0-B8BE9736DEA5}" srcOrd="1" destOrd="0" presId="urn:microsoft.com/office/officeart/2009/3/layout/DescendingProcess"/>
    <dgm:cxn modelId="{743DEEC4-919E-6947-9FF3-EC42E4D40947}" type="presParOf" srcId="{25705F00-F346-CD47-82C0-70E69595B541}" destId="{9B3D6AD5-1D10-244E-8AA7-C407E012A6A8}" srcOrd="2" destOrd="0" presId="urn:microsoft.com/office/officeart/2009/3/layout/DescendingProcess"/>
    <dgm:cxn modelId="{3CFF7960-43D4-E043-B6DC-4D1CE4459EDD}" type="presParOf" srcId="{25705F00-F346-CD47-82C0-70E69595B541}" destId="{477D7733-6A01-0446-9520-1CE50E755306}" srcOrd="3" destOrd="0" presId="urn:microsoft.com/office/officeart/2009/3/layout/DescendingProcess"/>
    <dgm:cxn modelId="{FFA1CA7F-B58C-4E49-9CE1-1D03083E1B0D}" type="presParOf" srcId="{477D7733-6A01-0446-9520-1CE50E755306}" destId="{F96E58FE-07B2-DA49-8A73-8304B50F8A21}" srcOrd="0" destOrd="0" presId="urn:microsoft.com/office/officeart/2009/3/layout/DescendingProcess"/>
    <dgm:cxn modelId="{32B37CC0-7457-8A46-88F6-1DC157AF494A}" type="presParOf" srcId="{25705F00-F346-CD47-82C0-70E69595B541}" destId="{344F0FD2-5ECB-7A4A-9E40-1768529CAD3B}" srcOrd="4" destOrd="0" presId="urn:microsoft.com/office/officeart/2009/3/layout/DescendingProcess"/>
    <dgm:cxn modelId="{72B0FBEE-4D4C-974D-8E2B-4002402EA77D}" type="presParOf" srcId="{25705F00-F346-CD47-82C0-70E69595B541}" destId="{C4A5AF52-D2A9-4644-89EA-B5F9D413223C}" srcOrd="5" destOrd="0" presId="urn:microsoft.com/office/officeart/2009/3/layout/DescendingProcess"/>
    <dgm:cxn modelId="{19BC17DE-37AC-3241-9228-3023A22FD153}" type="presParOf" srcId="{C4A5AF52-D2A9-4644-89EA-B5F9D413223C}" destId="{55FEA793-FF81-9B4A-AE51-4E306034CD02}" srcOrd="0" destOrd="0" presId="urn:microsoft.com/office/officeart/2009/3/layout/DescendingProcess"/>
    <dgm:cxn modelId="{EB698F81-654A-C943-8153-A0322CE6774E}" type="presParOf" srcId="{25705F00-F346-CD47-82C0-70E69595B541}" destId="{1170FC50-E0D0-E54C-9601-C57A88139EA8}" srcOrd="6" destOrd="0" presId="urn:microsoft.com/office/officeart/2009/3/layout/DescendingProcess"/>
    <dgm:cxn modelId="{6B5305AE-03A2-C74C-95CD-0C9359282615}" type="presParOf" srcId="{25705F00-F346-CD47-82C0-70E69595B541}" destId="{1826051C-2DCA-884B-812D-247AE0C7C19A}" srcOrd="7" destOrd="0" presId="urn:microsoft.com/office/officeart/2009/3/layout/DescendingProcess"/>
    <dgm:cxn modelId="{2CBF7235-9EAE-9347-A05A-B112B7643C1C}" type="presParOf" srcId="{1826051C-2DCA-884B-812D-247AE0C7C19A}" destId="{9B2275AC-9942-2F48-8572-1B25966FC3E0}" srcOrd="0" destOrd="0" presId="urn:microsoft.com/office/officeart/2009/3/layout/DescendingProcess"/>
    <dgm:cxn modelId="{4DC770AB-57EC-AA4A-B119-A5EAA12C5A29}" type="presParOf" srcId="{25705F00-F346-CD47-82C0-70E69595B541}" destId="{2C145023-2EEF-1543-AD56-B38E372FD339}" srcOrd="8" destOrd="0" presId="urn:microsoft.com/office/officeart/2009/3/layout/DescendingProcess"/>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315613-6CEA-E342-9AF5-9B864F3DEF78}">
      <dsp:nvSpPr>
        <dsp:cNvPr id="0" name=""/>
        <dsp:cNvSpPr/>
      </dsp:nvSpPr>
      <dsp:spPr>
        <a:xfrm rot="4396374">
          <a:off x="1388904" y="525729"/>
          <a:ext cx="2280696" cy="1590501"/>
        </a:xfrm>
        <a:prstGeom prst="swooshArrow">
          <a:avLst>
            <a:gd name="adj1" fmla="val 16310"/>
            <a:gd name="adj2" fmla="val 3137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96E58FE-07B2-DA49-8A73-8304B50F8A21}">
      <dsp:nvSpPr>
        <dsp:cNvPr id="0" name=""/>
        <dsp:cNvSpPr/>
      </dsp:nvSpPr>
      <dsp:spPr>
        <a:xfrm>
          <a:off x="2243260" y="733408"/>
          <a:ext cx="57594" cy="57594"/>
        </a:xfrm>
        <a:prstGeom prst="ellipse">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dsp:style>
    </dsp:sp>
    <dsp:sp modelId="{55FEA793-FF81-9B4A-AE51-4E306034CD02}">
      <dsp:nvSpPr>
        <dsp:cNvPr id="0" name=""/>
        <dsp:cNvSpPr/>
      </dsp:nvSpPr>
      <dsp:spPr>
        <a:xfrm>
          <a:off x="2637625" y="1051500"/>
          <a:ext cx="57594" cy="57594"/>
        </a:xfrm>
        <a:prstGeom prst="ellipse">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dsp:style>
    </dsp:sp>
    <dsp:sp modelId="{9B2275AC-9942-2F48-8572-1B25966FC3E0}">
      <dsp:nvSpPr>
        <dsp:cNvPr id="0" name=""/>
        <dsp:cNvSpPr/>
      </dsp:nvSpPr>
      <dsp:spPr>
        <a:xfrm>
          <a:off x="2933181" y="1423488"/>
          <a:ext cx="57594" cy="57594"/>
        </a:xfrm>
        <a:prstGeom prst="ellipse">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dsp:style>
    </dsp:sp>
    <dsp:sp modelId="{F57BBE06-E0EA-D043-B5E0-B8BE9736DEA5}">
      <dsp:nvSpPr>
        <dsp:cNvPr id="0" name=""/>
        <dsp:cNvSpPr/>
      </dsp:nvSpPr>
      <dsp:spPr>
        <a:xfrm>
          <a:off x="1236013" y="0"/>
          <a:ext cx="1075277" cy="42271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t" anchorCtr="0">
          <a:noAutofit/>
        </a:bodyPr>
        <a:lstStyle/>
        <a:p>
          <a:pPr lvl="0" algn="l" defTabSz="533400">
            <a:lnSpc>
              <a:spcPct val="90000"/>
            </a:lnSpc>
            <a:spcBef>
              <a:spcPct val="0"/>
            </a:spcBef>
            <a:spcAft>
              <a:spcPct val="35000"/>
            </a:spcAft>
          </a:pPr>
          <a:endParaRPr lang="en-US" sz="1200" kern="1200"/>
        </a:p>
        <a:p>
          <a:pPr marL="114300" lvl="1" indent="-114300" algn="l" defTabSz="533400">
            <a:lnSpc>
              <a:spcPct val="90000"/>
            </a:lnSpc>
            <a:spcBef>
              <a:spcPct val="0"/>
            </a:spcBef>
            <a:spcAft>
              <a:spcPct val="15000"/>
            </a:spcAft>
            <a:buChar char="••"/>
          </a:pPr>
          <a:r>
            <a:rPr lang="en-US" sz="1200" kern="1200" dirty="0" smtClean="0"/>
            <a:t>ScIndyRef1 </a:t>
          </a:r>
          <a:r>
            <a:rPr lang="en-US" sz="1200" kern="1200" dirty="0"/>
            <a:t>2014</a:t>
          </a:r>
        </a:p>
      </dsp:txBody>
      <dsp:txXfrm>
        <a:off x="1236013" y="0"/>
        <a:ext cx="1075277" cy="422713"/>
      </dsp:txXfrm>
    </dsp:sp>
    <dsp:sp modelId="{9B3D6AD5-1D10-244E-8AA7-C407E012A6A8}">
      <dsp:nvSpPr>
        <dsp:cNvPr id="0" name=""/>
        <dsp:cNvSpPr/>
      </dsp:nvSpPr>
      <dsp:spPr>
        <a:xfrm>
          <a:off x="2639580" y="508570"/>
          <a:ext cx="1435853" cy="5072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t" anchorCtr="0">
          <a:noAutofit/>
        </a:bodyPr>
        <a:lstStyle/>
        <a:p>
          <a:pPr lvl="0" algn="l" defTabSz="488950">
            <a:lnSpc>
              <a:spcPct val="90000"/>
            </a:lnSpc>
            <a:spcBef>
              <a:spcPct val="0"/>
            </a:spcBef>
            <a:spcAft>
              <a:spcPct val="35000"/>
            </a:spcAft>
          </a:pPr>
          <a:endParaRPr lang="en-US" sz="1100" kern="1200" dirty="0"/>
        </a:p>
        <a:p>
          <a:pPr marL="114300" lvl="1" indent="-114300" algn="l" defTabSz="533400">
            <a:lnSpc>
              <a:spcPct val="90000"/>
            </a:lnSpc>
            <a:spcBef>
              <a:spcPct val="0"/>
            </a:spcBef>
            <a:spcAft>
              <a:spcPct val="15000"/>
            </a:spcAft>
            <a:buChar char="••"/>
          </a:pPr>
          <a:r>
            <a:rPr lang="en-US" sz="1200" kern="1200" dirty="0"/>
            <a:t>UK election </a:t>
          </a:r>
          <a:r>
            <a:rPr lang="en-US" sz="1200" kern="1200" dirty="0" smtClean="0"/>
            <a:t>2015 (Cons)</a:t>
          </a:r>
          <a:endParaRPr lang="en-US" sz="1200" kern="1200" dirty="0"/>
        </a:p>
      </dsp:txBody>
      <dsp:txXfrm>
        <a:off x="2639580" y="508570"/>
        <a:ext cx="1435853" cy="507269"/>
      </dsp:txXfrm>
    </dsp:sp>
    <dsp:sp modelId="{344F0FD2-5ECB-7A4A-9E40-1768529CAD3B}">
      <dsp:nvSpPr>
        <dsp:cNvPr id="0" name=""/>
        <dsp:cNvSpPr/>
      </dsp:nvSpPr>
      <dsp:spPr>
        <a:xfrm>
          <a:off x="1128330" y="814695"/>
          <a:ext cx="1465011" cy="5312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t" anchorCtr="0">
          <a:noAutofit/>
        </a:bodyPr>
        <a:lstStyle/>
        <a:p>
          <a:pPr lvl="0" algn="l" defTabSz="488950">
            <a:lnSpc>
              <a:spcPct val="90000"/>
            </a:lnSpc>
            <a:spcBef>
              <a:spcPct val="0"/>
            </a:spcBef>
            <a:spcAft>
              <a:spcPct val="35000"/>
            </a:spcAft>
          </a:pPr>
          <a:endParaRPr lang="en-US" sz="1100" kern="1200" dirty="0" smtClean="0"/>
        </a:p>
        <a:p>
          <a:pPr lvl="0" algn="l" defTabSz="488950">
            <a:lnSpc>
              <a:spcPct val="90000"/>
            </a:lnSpc>
            <a:spcBef>
              <a:spcPct val="0"/>
            </a:spcBef>
            <a:spcAft>
              <a:spcPct val="35000"/>
            </a:spcAft>
          </a:pPr>
          <a:endParaRPr lang="en-US" sz="1100" kern="1200" dirty="0"/>
        </a:p>
        <a:p>
          <a:pPr marL="114300" lvl="1" indent="-114300" algn="l" defTabSz="533400">
            <a:lnSpc>
              <a:spcPct val="90000"/>
            </a:lnSpc>
            <a:spcBef>
              <a:spcPct val="0"/>
            </a:spcBef>
            <a:spcAft>
              <a:spcPct val="15000"/>
            </a:spcAft>
            <a:buChar char="••"/>
          </a:pPr>
          <a:r>
            <a:rPr lang="en-US" sz="1200" kern="1200" dirty="0">
              <a:solidFill>
                <a:schemeClr val="tx1"/>
              </a:solidFill>
            </a:rPr>
            <a:t>Sc </a:t>
          </a:r>
          <a:r>
            <a:rPr lang="en-US" sz="1200" kern="1200" dirty="0" err="1">
              <a:solidFill>
                <a:schemeClr val="tx1"/>
              </a:solidFill>
            </a:rPr>
            <a:t>Parl</a:t>
          </a:r>
          <a:r>
            <a:rPr lang="en-US" sz="1200" kern="1200" dirty="0">
              <a:solidFill>
                <a:schemeClr val="tx1"/>
              </a:solidFill>
            </a:rPr>
            <a:t>  election </a:t>
          </a:r>
          <a:r>
            <a:rPr lang="en-US" sz="1200" kern="1200" dirty="0" smtClean="0">
              <a:solidFill>
                <a:schemeClr val="tx1"/>
              </a:solidFill>
            </a:rPr>
            <a:t>2016 (SNP)</a:t>
          </a:r>
          <a:endParaRPr lang="en-US" sz="1200" kern="1200" dirty="0">
            <a:solidFill>
              <a:schemeClr val="tx1"/>
            </a:solidFill>
          </a:endParaRPr>
        </a:p>
        <a:p>
          <a:pPr marL="57150" lvl="1" indent="-57150" algn="l" defTabSz="266700">
            <a:lnSpc>
              <a:spcPct val="90000"/>
            </a:lnSpc>
            <a:spcBef>
              <a:spcPct val="0"/>
            </a:spcBef>
            <a:spcAft>
              <a:spcPct val="15000"/>
            </a:spcAft>
            <a:buChar char="••"/>
          </a:pPr>
          <a:endParaRPr lang="en-US" sz="600" kern="1200" dirty="0"/>
        </a:p>
      </dsp:txBody>
      <dsp:txXfrm>
        <a:off x="1128330" y="814695"/>
        <a:ext cx="1465011" cy="531203"/>
      </dsp:txXfrm>
    </dsp:sp>
    <dsp:sp modelId="{1170FC50-E0D0-E54C-9601-C57A88139EA8}">
      <dsp:nvSpPr>
        <dsp:cNvPr id="0" name=""/>
        <dsp:cNvSpPr/>
      </dsp:nvSpPr>
      <dsp:spPr>
        <a:xfrm>
          <a:off x="3200831" y="1232068"/>
          <a:ext cx="959031" cy="42271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en-US" sz="1200" kern="1200" dirty="0" err="1">
              <a:solidFill>
                <a:schemeClr val="tx1"/>
              </a:solidFill>
            </a:rPr>
            <a:t>Brexit</a:t>
          </a:r>
          <a:r>
            <a:rPr lang="en-US" sz="1200" kern="1200" dirty="0">
              <a:solidFill>
                <a:schemeClr val="tx1"/>
              </a:solidFill>
            </a:rPr>
            <a:t> Ref </a:t>
          </a:r>
          <a:r>
            <a:rPr lang="en-US" sz="1200" kern="1200" dirty="0" smtClean="0">
              <a:solidFill>
                <a:schemeClr val="tx1"/>
              </a:solidFill>
            </a:rPr>
            <a:t>2016 (Leave)</a:t>
          </a:r>
          <a:endParaRPr lang="en-US" sz="1200" kern="1200" dirty="0">
            <a:solidFill>
              <a:schemeClr val="tx1"/>
            </a:solidFill>
          </a:endParaRPr>
        </a:p>
      </dsp:txBody>
      <dsp:txXfrm>
        <a:off x="3200831" y="1232068"/>
        <a:ext cx="959031" cy="422713"/>
      </dsp:txXfrm>
    </dsp:sp>
    <dsp:sp modelId="{2C145023-2EEF-1543-AD56-B38E372FD339}">
      <dsp:nvSpPr>
        <dsp:cNvPr id="0" name=""/>
        <dsp:cNvSpPr/>
      </dsp:nvSpPr>
      <dsp:spPr>
        <a:xfrm>
          <a:off x="2689091" y="2219246"/>
          <a:ext cx="1453077" cy="42271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t" anchorCtr="0">
          <a:noAutofit/>
        </a:bodyPr>
        <a:lstStyle/>
        <a:p>
          <a:pPr lvl="0" algn="ctr" defTabSz="533400">
            <a:lnSpc>
              <a:spcPct val="90000"/>
            </a:lnSpc>
            <a:spcBef>
              <a:spcPct val="0"/>
            </a:spcBef>
            <a:spcAft>
              <a:spcPct val="35000"/>
            </a:spcAft>
          </a:pPr>
          <a:r>
            <a:rPr lang="en-US" sz="1200" kern="1200" dirty="0"/>
            <a:t>ScIndyRef2? '</a:t>
          </a:r>
          <a:r>
            <a:rPr lang="en-US" sz="1200" i="1" kern="1200" dirty="0"/>
            <a:t>Do You Agree that Scotland should be an independent country </a:t>
          </a:r>
          <a:r>
            <a:rPr lang="en-US" sz="1200" b="1" i="1" kern="1200" dirty="0">
              <a:solidFill>
                <a:srgbClr val="FF0000"/>
              </a:solidFill>
            </a:rPr>
            <a:t>within the EU</a:t>
          </a:r>
          <a:r>
            <a:rPr lang="en-US" sz="1200" b="1" kern="1200" dirty="0">
              <a:solidFill>
                <a:srgbClr val="FF0000"/>
              </a:solidFill>
            </a:rPr>
            <a:t>?</a:t>
          </a:r>
          <a:r>
            <a:rPr lang="en-US" sz="1200" kern="1200" dirty="0"/>
            <a:t>'</a:t>
          </a:r>
        </a:p>
      </dsp:txBody>
      <dsp:txXfrm>
        <a:off x="2689091" y="2219246"/>
        <a:ext cx="1453077" cy="422713"/>
      </dsp:txXfrm>
    </dsp:sp>
  </dsp:spTree>
</dsp:drawing>
</file>

<file path=word/diagrams/layout1.xml><?xml version="1.0" encoding="utf-8"?>
<dgm:layoutDef xmlns:dgm="http://schemas.openxmlformats.org/drawingml/2006/diagram" xmlns:a="http://schemas.openxmlformats.org/drawingml/2006/main" uniqueId="urn:microsoft.com/office/officeart/2009/3/layout/DescendingProcess">
  <dgm:title val=""/>
  <dgm:desc val=""/>
  <dgm:catLst>
    <dgm:cat type="process" pri="235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clrData>
  <dgm:layoutNode name="Name0">
    <dgm:varLst>
      <dgm:chMax val="7"/>
      <dgm:chPref val="5"/>
    </dgm:varLst>
    <dgm:alg type="composite">
      <dgm:param type="ar" val="1.1"/>
    </dgm:alg>
    <dgm:shape xmlns:r="http://schemas.openxmlformats.org/officeDocument/2006/relationships" r:blip="">
      <dgm:adjLst/>
    </dgm:shape>
    <dgm:choose name="Name1">
      <dgm:if name="Name2" axis="ch" ptType="node" func="cnt" op="equ" val="1">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Lst>
      </dgm:if>
      <dgm:if name="Name3" axis="ch" ptType="node" func="cnt" op="equ" val="2">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5"/>
          <dgm:constr type="b" for="ch" forName="txNode2" refType="h"/>
          <dgm:constr type="r" for="ch" forName="txNode2" refType="w"/>
          <dgm:constr type="h" for="ch" forName="txNode2" refType="h" fact="0.16"/>
        </dgm:constrLst>
      </dgm:if>
      <dgm:if name="Name4" axis="ch" ptType="node" func="cnt" op="equ" val="3">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56"/>
          <dgm:constr type="ctrY" for="ch" forName="txNode2" refType="h" fact="0.3992"/>
          <dgm:constr type="r" for="ch" forName="txNode2" refType="w"/>
          <dgm:constr type="h" for="ch" forName="txNode2" refType="h" fact="0.16"/>
          <dgm:constr type="l" for="ch" forName="txNode3" refType="w" fact="0.5"/>
          <dgm:constr type="b" for="ch" forName="txNode3" refType="h"/>
          <dgm:constr type="r" for="ch" forName="txNode3" refType="w"/>
          <dgm:constr type="h" for="ch" forName="txNode3" refType="h" fact="0.16"/>
          <dgm:constr type="ctrX" for="ch" forName="dotNode2" refType="w" fact="0.4782"/>
          <dgm:constr type="ctrY" for="ch" forName="dotNode2" refType="h" fact="0.3992"/>
          <dgm:constr type="h" for="ch" forName="dotNode2" refType="h" fact="0.0218"/>
          <dgm:constr type="w" for="ch" forName="dotNode2" refType="h" refFor="ch" refForName="dotNode2"/>
        </dgm:constrLst>
      </dgm:if>
      <dgm:if name="Name5" axis="ch" ptType="node" func="cnt" op="equ" val="4">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49"/>
          <dgm:constr type="ctrY" for="ch" forName="txNode2" refType="h" fact="0.3153"/>
          <dgm:constr type="r" for="ch" forName="txNode2" refType="w"/>
          <dgm:constr type="h" for="ch" forName="txNode2" refType="h" fact="0.16"/>
          <dgm:constr type="l" for="ch" forName="txNode3" refType="w" fact="0"/>
          <dgm:constr type="ctrY" for="ch" forName="txNode3" refType="h" fact="0.5004"/>
          <dgm:constr type="r" for="ch" forName="txNode3" refType="w" fact="0.5"/>
          <dgm:constr type="h" for="ch" forName="txNode3" refType="h" fact="0.16"/>
          <dgm:constr type="l" for="ch" forName="txNode4" refType="w" fact="0.5"/>
          <dgm:constr type="b" for="ch" forName="txNode4" refType="h"/>
          <dgm:constr type="r" for="ch" forName="txNode4" refType="w"/>
          <dgm:constr type="h" for="ch" forName="txNode4" refType="h" fact="0.16"/>
          <dgm:constr type="ctrX" for="ch" forName="dotNode2" refType="w" fact="0.39"/>
          <dgm:constr type="ctrY" for="ch" forName="dotNode2" refType="h" fact="0.3153"/>
          <dgm:constr type="h" for="ch" forName="dotNode2" refType="h" fact="0.0218"/>
          <dgm:constr type="w" for="ch" forName="dotNode2" refType="h" refFor="ch" refForName="dotNode2"/>
          <dgm:constr type="ctrX" for="ch" forName="dotNode3" refType="w" fact="0.5626"/>
          <dgm:constr type="ctrY" for="ch" forName="dotNode3" refType="h" fact="0.5004"/>
          <dgm:constr type="h" for="ch" forName="dotNode3" refType="h" fact="0.0218"/>
          <dgm:constr type="w" for="ch" forName="dotNode3" refType="h" refFor="ch" refForName="dotNode3"/>
        </dgm:constrLst>
      </dgm:if>
      <dgm:if name="Name6" axis="ch" ptType="node" func="cnt" op="equ" val="5">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46"/>
          <dgm:constr type="ctrY" for="ch" forName="txNode2" refType="h" fact="0.2885"/>
          <dgm:constr type="r" for="ch" forName="txNode2" refType="w"/>
          <dgm:constr type="h" for="ch" forName="txNode2" refType="h" fact="0.16"/>
          <dgm:constr type="l" for="ch" forName="txNode3" refType="w" fact="0"/>
          <dgm:constr type="ctrY" for="ch" forName="txNode3" refType="h" fact="0.4089"/>
          <dgm:constr type="r" for="ch" forName="txNode3" refType="w" fact="0.43"/>
          <dgm:constr type="h" for="ch" forName="txNode3" refType="h" fact="0.16"/>
          <dgm:constr type="l" for="ch" forName="txNode4" refType="w" fact="0.67"/>
          <dgm:constr type="ctrY" for="ch" forName="txNode4" refType="h" fact="0.5497"/>
          <dgm:constr type="r" for="ch" forName="txNode4" refType="w"/>
          <dgm:constr type="h" for="ch" forName="txNode4" refType="h" fact="0.16"/>
          <dgm:constr type="l" for="ch" forName="txNode5" refType="w" fact="0.5"/>
          <dgm:constr type="b" for="ch" forName="txNode5" refType="h"/>
          <dgm:constr type="r" for="ch" forName="txNode5" refType="w"/>
          <dgm:constr type="h" for="ch" forName="txNode5" refType="h" fact="0.16"/>
          <dgm:constr type="ctrX" for="ch" forName="dotNode2" refType="w" fact="0.3565"/>
          <dgm:constr type="ctrY" for="ch" forName="dotNode2" refType="h" fact="0.2885"/>
          <dgm:constr type="h" for="ch" forName="dotNode2" refType="h" fact="0.0218"/>
          <dgm:constr type="w" for="ch" forName="dotNode2" refType="h" refFor="ch" refForName="dotNode2"/>
          <dgm:constr type="ctrX" for="ch" forName="dotNode3" refType="w" fact="0.4922"/>
          <dgm:constr type="ctrY" for="ch" forName="dotNode3" refType="h" fact="0.4089"/>
          <dgm:constr type="h" for="ch" forName="dotNode3" refType="h" fact="0.0218"/>
          <dgm:constr type="w" for="ch" forName="dotNode3" refType="h" refFor="ch" refForName="dotNode3"/>
          <dgm:constr type="ctrX" for="ch" forName="dotNode4" refType="w" fact="0.5939"/>
          <dgm:constr type="ctrY" for="ch" forName="dotNode4" refType="h" fact="0.5497"/>
          <dgm:constr type="h" for="ch" forName="dotNode4" refType="h" fact="0.0218"/>
          <dgm:constr type="w" for="ch" forName="dotNode4" refType="h" refFor="ch" refForName="dotNode4"/>
        </dgm:constrLst>
      </dgm:if>
      <dgm:if name="Name7" axis="ch" ptType="node" func="cnt" op="equ" val="6">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45"/>
          <dgm:constr type="ctrY" for="ch" forName="txNode2" refType="h" fact="0.2693"/>
          <dgm:constr type="r" for="ch" forName="txNode2" refType="w"/>
          <dgm:constr type="h" for="ch" forName="txNode2" refType="h" fact="0.16"/>
          <dgm:constr type="l" for="ch" forName="txNode3" refType="w" fact="0"/>
          <dgm:constr type="ctrY" for="ch" forName="txNode3" refType="h" fact="0.3638"/>
          <dgm:constr type="r" for="ch" forName="txNode3" refType="w" fact="0.37"/>
          <dgm:constr type="h" for="ch" forName="txNode3" refType="h" fact="0.16"/>
          <dgm:constr type="l" for="ch" forName="txNode4" refType="w" fact="0.63"/>
          <dgm:constr type="ctrY" for="ch" forName="txNode4" refType="h" fact="0.4744"/>
          <dgm:constr type="r" for="ch" forName="txNode4" refType="w"/>
          <dgm:constr type="h" for="ch" forName="txNode4" refType="h" fact="0.16"/>
          <dgm:constr type="l" for="ch" forName="txNode5" refType="w" fact="0"/>
          <dgm:constr type="ctrY" for="ch" forName="txNode5" refType="h" fact="0.5961"/>
          <dgm:constr type="r" for="ch" forName="txNode5" refType="w" fact="0.55"/>
          <dgm:constr type="h" for="ch" forName="txNode5" refType="h" fact="0.16"/>
          <dgm:constr type="l" for="ch" forName="txNode6" refType="w" fact="0.5"/>
          <dgm:constr type="b" for="ch" forName="txNode6" refType="h"/>
          <dgm:constr type="r" for="ch" forName="txNode6" refType="w"/>
          <dgm:constr type="h" for="ch" forName="txNode6" refType="h" fact="0.16"/>
          <dgm:constr type="ctrX" for="ch" forName="dotNode2" refType="w" fact="0.33"/>
          <dgm:constr type="ctrY" for="ch" forName="dotNode2" refType="h" fact="0.2693"/>
          <dgm:constr type="h" for="ch" forName="dotNode2" refType="h" fact="0.0218"/>
          <dgm:constr type="w" for="ch" forName="dotNode2" refType="h" refFor="ch" refForName="dotNode2"/>
          <dgm:constr type="ctrX" for="ch" forName="dotNode3" refType="w" fact="0.4419"/>
          <dgm:constr type="ctrY" for="ch" forName="dotNode3" refType="h" fact="0.3638"/>
          <dgm:constr type="h" for="ch" forName="dotNode3" refType="h" fact="0.0218"/>
          <dgm:constr type="w" for="ch" forName="dotNode3" refType="h" refFor="ch" refForName="dotNode3"/>
          <dgm:constr type="ctrX" for="ch" forName="dotNode4" refType="w" fact="0.5425"/>
          <dgm:constr type="ctrY" for="ch" forName="dotNode4" refType="h" fact="0.4744"/>
          <dgm:constr type="h" for="ch" forName="dotNode4" refType="h" fact="0.0218"/>
          <dgm:constr type="w" for="ch" forName="dotNode4" refType="h" refFor="ch" refForName="dotNode4"/>
          <dgm:constr type="ctrX" for="ch" forName="dotNode5" refType="w" fact="0.6153"/>
          <dgm:constr type="ctrY" for="ch" forName="dotNode5" refType="h" fact="0.5961"/>
          <dgm:constr type="h" for="ch" forName="dotNode5" refType="h" fact="0.0218"/>
          <dgm:constr type="w" for="ch" forName="dotNode5" refType="h" refFor="ch" refForName="dotNode5"/>
        </dgm:constrLst>
      </dgm:if>
      <dgm:else name="Name8">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44"/>
          <dgm:constr type="ctrY" for="ch" forName="txNode2" refType="h" fact="0.2693"/>
          <dgm:constr type="r" for="ch" forName="txNode2" refType="w"/>
          <dgm:constr type="h" for="ch" forName="txNode2" refType="h" fact="0.16"/>
          <dgm:constr type="l" for="ch" forName="txNode3" refType="w" fact="0"/>
          <dgm:constr type="ctrY" for="ch" forName="txNode3" refType="h" fact="0.3424"/>
          <dgm:constr type="r" for="ch" forName="txNode3" refType="w" fact="0.33"/>
          <dgm:constr type="h" for="ch" forName="txNode3" refType="h" fact="0.16"/>
          <dgm:constr type="l" for="ch" forName="txNode4" refType="w" fact="0.61"/>
          <dgm:constr type="ctrY" for="ch" forName="txNode4" refType="h" fact="0.4276"/>
          <dgm:constr type="r" for="ch" forName="txNode4" refType="w"/>
          <dgm:constr type="h" for="ch" forName="txNode4" refType="h" fact="0.16"/>
          <dgm:constr type="l" for="ch" forName="txNode5" refType="w" fact="0"/>
          <dgm:constr type="ctrY" for="ch" forName="txNode5" refType="h" fact="0.5218"/>
          <dgm:constr type="r" for="ch" forName="txNode5" refType="w" fact="0.5"/>
          <dgm:constr type="h" for="ch" forName="txNode5" refType="h" fact="0.16"/>
          <dgm:constr type="l" for="ch" forName="txNode6" refType="w" fact="0.71"/>
          <dgm:constr type="ctrY" for="ch" forName="txNode6" refType="h" fact="0.6179"/>
          <dgm:constr type="r" for="ch" forName="txNode6" refType="w"/>
          <dgm:constr type="h" for="ch" forName="txNode6" refType="h" fact="0.16"/>
          <dgm:constr type="l" for="ch" forName="txNode7" refType="w" fact="0.5"/>
          <dgm:constr type="b" for="ch" forName="txNode7" refType="h"/>
          <dgm:constr type="r" for="ch" forName="txNode7" refType="w"/>
          <dgm:constr type="h" for="ch" forName="txNode7" refType="h" fact="0.16"/>
          <dgm:constr type="ctrX" for="ch" forName="dotNode2" refType="w" fact="0.33"/>
          <dgm:constr type="ctrY" for="ch" forName="dotNode2" refType="h" fact="0.2693"/>
          <dgm:constr type="h" for="ch" forName="dotNode2" refType="h" fact="0.0218"/>
          <dgm:constr type="w" for="ch" forName="dotNode2" refType="h" refFor="ch" refForName="dotNode2"/>
          <dgm:constr type="ctrX" for="ch" forName="dotNode3" refType="w" fact="0.425"/>
          <dgm:constr type="ctrY" for="ch" forName="dotNode3" refType="h" fact="0.3424"/>
          <dgm:constr type="h" for="ch" forName="dotNode3" refType="h" fact="0.0218"/>
          <dgm:constr type="w" for="ch" forName="dotNode3" refType="h" refFor="ch" refForName="dotNode3"/>
          <dgm:constr type="ctrX" for="ch" forName="dotNode4" refType="w" fact="0.505"/>
          <dgm:constr type="ctrY" for="ch" forName="dotNode4" refType="h" fact="0.4276"/>
          <dgm:constr type="h" for="ch" forName="dotNode4" refType="h" fact="0.0218"/>
          <dgm:constr type="w" for="ch" forName="dotNode4" refType="h" refFor="ch" refForName="dotNode4"/>
          <dgm:constr type="ctrX" for="ch" forName="dotNode5" refType="w" fact="0.5742"/>
          <dgm:constr type="ctrY" for="ch" forName="dotNode5" refType="h" fact="0.5218"/>
          <dgm:constr type="h" for="ch" forName="dotNode5" refType="h" fact="0.0218"/>
          <dgm:constr type="w" for="ch" forName="dotNode5" refType="h" refFor="ch" refForName="dotNode5"/>
          <dgm:constr type="ctrX" for="ch" forName="dotNode6" refType="w" fact="0.63"/>
          <dgm:constr type="ctrY" for="ch" forName="dotNode6" refType="h" fact="0.6179"/>
          <dgm:constr type="h" for="ch" forName="dotNode6" refType="h" fact="0.0218"/>
          <dgm:constr type="w" for="ch" forName="dotNode6" refType="h" refFor="ch" refForName="dotNode6"/>
        </dgm:constrLst>
      </dgm:else>
    </dgm:choose>
    <dgm:forEach name="Name9" axis="self" ptType="parTrans">
      <dgm:forEach name="Name10" axis="self" ptType="sibTrans" st="2">
        <dgm:forEach name="dotRepeat" axis="self">
          <dgm:layoutNode name="dotRepeatNode" styleLbl="fgShp">
            <dgm:alg type="sp"/>
            <dgm:shape xmlns:r="http://schemas.openxmlformats.org/officeDocument/2006/relationships" type="ellipse" r:blip="">
              <dgm:adjLst/>
            </dgm:shape>
            <dgm:presOf axis="self"/>
          </dgm:layoutNode>
        </dgm:forEach>
      </dgm:forEach>
    </dgm:forEach>
    <dgm:choose name="Name11">
      <dgm:if name="Name12" axis="ch" ptType="node" func="cnt" op="gte" val="1">
        <dgm:layoutNode name="arrowNode" styleLbl="node1">
          <dgm:alg type="sp"/>
          <dgm:shape xmlns:r="http://schemas.openxmlformats.org/officeDocument/2006/relationships" rot="73.2729" type="swooshArrow" r:blip="">
            <dgm:adjLst>
              <dgm:adj idx="1" val="0.1631"/>
              <dgm:adj idx="2" val="0.3137"/>
            </dgm:adjLst>
          </dgm:shape>
          <dgm:presOf/>
        </dgm:layoutNode>
      </dgm:if>
      <dgm:else name="Name13"/>
    </dgm:choose>
    <dgm:forEach name="Name14" axis="ch" ptType="node" cnt="1">
      <dgm:layoutNode name="txNode1" styleLbl="revTx">
        <dgm:varLst>
          <dgm:bulletEnabled val="1"/>
        </dgm:varLst>
        <dgm:alg type="tx">
          <dgm:param type="txAnchorVert" val="b"/>
        </dgm:alg>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15" axis="ch" ptType="node" st="2" cnt="1">
      <dgm:layoutNode name="txNode2" styleLbl="revTx">
        <dgm:varLst>
          <dgm:bulletEnabled val="1"/>
        </dgm:varLst>
        <dgm:choose name="Name16">
          <dgm:if name="Name17" axis="self" ptType="node" func="revPos" op="equ" val="1">
            <dgm:alg type="tx">
              <dgm:param type="txAnchorVert" val="t"/>
            </dgm:alg>
          </dgm:if>
          <dgm:if name="Name18" axis="self" ptType="node" func="posOdd" op="equ" val="1">
            <dgm:alg type="tx">
              <dgm:param type="parTxLTRAlign" val="r"/>
              <dgm:param type="parTxRTLAlign" val="r"/>
            </dgm:alg>
          </dgm:if>
          <dgm:else name="Name19">
            <dgm:alg type="tx">
              <dgm:param type="parTxLTRAlign" val="l"/>
              <dgm:param type="parTxRTLAlign" val="l"/>
            </dgm:alg>
          </dgm:else>
        </dgm:choose>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20">
        <dgm:if name="Name21" axis="par ch" ptType="all node" func="cnt" op="neq" val="2">
          <dgm:forEach name="Name22" axis="follow" ptType="sibTrans" cnt="1">
            <dgm:layoutNode name="dotNode2">
              <dgm:alg type="sp"/>
              <dgm:shape xmlns:r="http://schemas.openxmlformats.org/officeDocument/2006/relationships" r:blip="">
                <dgm:adjLst/>
              </dgm:shape>
              <dgm:presOf/>
              <dgm:forEach name="Name23" ref="dotRepeat"/>
            </dgm:layoutNode>
          </dgm:forEach>
        </dgm:if>
        <dgm:else name="Name24"/>
      </dgm:choose>
    </dgm:forEach>
    <dgm:forEach name="Name25" axis="ch" ptType="node" st="3" cnt="1">
      <dgm:layoutNode name="txNode3" styleLbl="revTx">
        <dgm:varLst>
          <dgm:bulletEnabled val="1"/>
        </dgm:varLst>
        <dgm:choose name="Name26">
          <dgm:if name="Name27" axis="self" ptType="node" func="revPos" op="equ" val="1">
            <dgm:alg type="tx">
              <dgm:param type="txAnchorVert" val="t"/>
            </dgm:alg>
          </dgm:if>
          <dgm:if name="Name28" axis="self" ptType="node" func="posOdd" op="equ" val="1">
            <dgm:alg type="tx">
              <dgm:param type="parTxLTRAlign" val="r"/>
              <dgm:param type="parTxRTLAlign" val="r"/>
            </dgm:alg>
          </dgm:if>
          <dgm:else name="Name29">
            <dgm:alg type="tx">
              <dgm:param type="parTxLTRAlign" val="l"/>
              <dgm:param type="parTxRTLAlign" val="l"/>
            </dgm:alg>
          </dgm:else>
        </dgm:choose>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30">
        <dgm:if name="Name31" axis="par ch" ptType="all node" func="cnt" op="neq" val="3">
          <dgm:forEach name="Name32" axis="follow" ptType="sibTrans" cnt="1">
            <dgm:layoutNode name="dotNode3">
              <dgm:alg type="sp"/>
              <dgm:shape xmlns:r="http://schemas.openxmlformats.org/officeDocument/2006/relationships" r:blip="">
                <dgm:adjLst/>
              </dgm:shape>
              <dgm:presOf/>
              <dgm:forEach name="Name33" ref="dotRepeat"/>
            </dgm:layoutNode>
          </dgm:forEach>
        </dgm:if>
        <dgm:else name="Name34"/>
      </dgm:choose>
    </dgm:forEach>
    <dgm:forEach name="Name35" axis="ch" ptType="node" st="4" cnt="1">
      <dgm:layoutNode name="txNode4" styleLbl="revTx">
        <dgm:varLst>
          <dgm:bulletEnabled val="1"/>
        </dgm:varLst>
        <dgm:choose name="Name36">
          <dgm:if name="Name37" axis="self" ptType="node" func="revPos" op="equ" val="1">
            <dgm:alg type="tx">
              <dgm:param type="txAnchorVert" val="t"/>
            </dgm:alg>
          </dgm:if>
          <dgm:if name="Name38" axis="self" ptType="node" func="posOdd" op="equ" val="1">
            <dgm:alg type="tx">
              <dgm:param type="parTxLTRAlign" val="r"/>
              <dgm:param type="parTxRTLAlign" val="r"/>
            </dgm:alg>
          </dgm:if>
          <dgm:else name="Name39">
            <dgm:alg type="tx">
              <dgm:param type="parTxLTRAlign" val="l"/>
              <dgm:param type="parTxRTLAlign" val="l"/>
            </dgm:alg>
          </dgm:else>
        </dgm:choose>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40">
        <dgm:if name="Name41" axis="par ch" ptType="all node" func="cnt" op="neq" val="4">
          <dgm:forEach name="Name42" axis="follow" ptType="sibTrans" cnt="1">
            <dgm:layoutNode name="dotNode4">
              <dgm:alg type="sp"/>
              <dgm:shape xmlns:r="http://schemas.openxmlformats.org/officeDocument/2006/relationships" r:blip="">
                <dgm:adjLst/>
              </dgm:shape>
              <dgm:presOf/>
              <dgm:forEach name="Name43" ref="dotRepeat"/>
            </dgm:layoutNode>
          </dgm:forEach>
        </dgm:if>
        <dgm:else name="Name44"/>
      </dgm:choose>
    </dgm:forEach>
    <dgm:forEach name="Name45" axis="ch" ptType="node" st="5" cnt="1">
      <dgm:layoutNode name="txNode5" styleLbl="revTx">
        <dgm:varLst>
          <dgm:bulletEnabled val="1"/>
        </dgm:varLst>
        <dgm:choose name="Name46">
          <dgm:if name="Name47" axis="self" ptType="node" func="revPos" op="equ" val="1">
            <dgm:alg type="tx">
              <dgm:param type="txAnchorVert" val="t"/>
            </dgm:alg>
          </dgm:if>
          <dgm:if name="Name48" axis="self" ptType="node" func="posOdd" op="equ" val="1">
            <dgm:alg type="tx">
              <dgm:param type="parTxLTRAlign" val="r"/>
              <dgm:param type="parTxRTLAlign" val="r"/>
            </dgm:alg>
          </dgm:if>
          <dgm:else name="Name49">
            <dgm:alg type="tx">
              <dgm:param type="parTxLTRAlign" val="l"/>
              <dgm:param type="parTxRTLAlign" val="l"/>
            </dgm:alg>
          </dgm:else>
        </dgm:choose>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50">
        <dgm:if name="Name51" axis="par ch" ptType="all node" func="cnt" op="neq" val="5">
          <dgm:forEach name="Name52" axis="follow" ptType="sibTrans" cnt="1">
            <dgm:layoutNode name="dotNode5">
              <dgm:alg type="sp"/>
              <dgm:shape xmlns:r="http://schemas.openxmlformats.org/officeDocument/2006/relationships" r:blip="">
                <dgm:adjLst/>
              </dgm:shape>
              <dgm:presOf/>
              <dgm:forEach name="Name53" ref="dotRepeat"/>
            </dgm:layoutNode>
          </dgm:forEach>
        </dgm:if>
        <dgm:else name="Name54"/>
      </dgm:choose>
    </dgm:forEach>
    <dgm:forEach name="Name55" axis="ch" ptType="node" st="6" cnt="1">
      <dgm:layoutNode name="txNode6" styleLbl="revTx">
        <dgm:varLst>
          <dgm:bulletEnabled val="1"/>
        </dgm:varLst>
        <dgm:choose name="Name56">
          <dgm:if name="Name57" axis="self" ptType="node" func="revPos" op="equ" val="1">
            <dgm:alg type="tx">
              <dgm:param type="txAnchorVert" val="t"/>
            </dgm:alg>
          </dgm:if>
          <dgm:if name="Name58" axis="self" ptType="node" func="posOdd" op="equ" val="1">
            <dgm:alg type="tx">
              <dgm:param type="parTxLTRAlign" val="r"/>
              <dgm:param type="parTxRTLAlign" val="r"/>
            </dgm:alg>
          </dgm:if>
          <dgm:else name="Name59">
            <dgm:alg type="tx">
              <dgm:param type="parTxLTRAlign" val="l"/>
              <dgm:param type="parTxRTLAlign" val="l"/>
            </dgm:alg>
          </dgm:else>
        </dgm:choose>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60">
        <dgm:if name="Name61" axis="par ch" ptType="all node" func="cnt" op="neq" val="6">
          <dgm:forEach name="Name62" axis="follow" ptType="sibTrans" cnt="1">
            <dgm:layoutNode name="dotNode6">
              <dgm:alg type="sp"/>
              <dgm:shape xmlns:r="http://schemas.openxmlformats.org/officeDocument/2006/relationships" r:blip="">
                <dgm:adjLst/>
              </dgm:shape>
              <dgm:presOf/>
              <dgm:forEach name="Name63" ref="dotRepeat"/>
            </dgm:layoutNode>
          </dgm:forEach>
        </dgm:if>
        <dgm:else name="Name64"/>
      </dgm:choose>
    </dgm:forEach>
    <dgm:forEach name="Name65" axis="ch" ptType="node" st="7" cnt="1">
      <dgm:layoutNode name="txNode7" styleLbl="revTx">
        <dgm:varLst>
          <dgm:bulletEnabled val="1"/>
        </dgm:varLst>
        <dgm:alg type="tx">
          <dgm:param type="txAnchorVert" val="t"/>
        </dgm:alg>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2828</Words>
  <Characters>16120</Characters>
  <Application>Microsoft Macintosh Word</Application>
  <DocSecurity>0</DocSecurity>
  <Lines>134</Lines>
  <Paragraphs>37</Paragraphs>
  <ScaleCrop>false</ScaleCrop>
  <Company>University of Edinburgh</Company>
  <LinksUpToDate>false</LinksUpToDate>
  <CharactersWithSpaces>18911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McCrone</dc:creator>
  <cp:keywords/>
  <dc:description/>
  <cp:lastModifiedBy>Microsoft Office User</cp:lastModifiedBy>
  <cp:revision>2</cp:revision>
  <cp:lastPrinted>2016-06-15T07:21:00Z</cp:lastPrinted>
  <dcterms:created xsi:type="dcterms:W3CDTF">2017-04-03T12:04:00Z</dcterms:created>
  <dcterms:modified xsi:type="dcterms:W3CDTF">2017-04-03T12:04:00Z</dcterms:modified>
</cp:coreProperties>
</file>