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C921" w14:textId="383A7D85" w:rsidR="00D73A19" w:rsidRPr="00BB325B" w:rsidRDefault="44959E38" w:rsidP="00BB325B">
      <w:pPr>
        <w:pStyle w:val="Heading1"/>
        <w:rPr>
          <w:rFonts w:ascii="Arial" w:hAnsi="Arial" w:cs="Arial"/>
        </w:rPr>
      </w:pPr>
      <w:r w:rsidRPr="6143CD24">
        <w:t>Action</w:t>
      </w:r>
      <w:r w:rsidR="00BB325B">
        <w:t xml:space="preserve"> T</w:t>
      </w:r>
      <w:r w:rsidRPr="6143CD24">
        <w:t>racker</w:t>
      </w:r>
    </w:p>
    <w:p w14:paraId="39507051" w14:textId="274E8E98" w:rsidR="00D73A19" w:rsidRDefault="00A451B4" w:rsidP="008C1D12">
      <w:pPr>
        <w:pStyle w:val="Heading2"/>
      </w:pPr>
      <w:r>
        <w:t xml:space="preserve">Date of </w:t>
      </w:r>
      <w:r w:rsidR="00CC086C">
        <w:t xml:space="preserve">SSLC </w:t>
      </w:r>
      <w:r>
        <w:t>meeting:</w:t>
      </w:r>
      <w:r w:rsidR="44959E38" w:rsidRPr="6143CD24">
        <w:t xml:space="preserve"> </w:t>
      </w:r>
      <w:r w:rsidR="008F3DE2">
        <w:rPr>
          <w:rFonts w:asciiTheme="minorHAnsi" w:hAnsiTheme="minorHAnsi" w:cstheme="minorHAnsi"/>
          <w:color w:val="auto"/>
          <w:sz w:val="24"/>
          <w:szCs w:val="24"/>
        </w:rPr>
        <w:t>2 March 2026</w:t>
      </w:r>
      <w:r w:rsidR="00CC6929" w:rsidRPr="008C1D12">
        <w:rPr>
          <w:rFonts w:asciiTheme="minorHAnsi" w:hAnsiTheme="minorHAnsi" w:cstheme="minorHAnsi"/>
          <w:color w:val="auto"/>
          <w:sz w:val="24"/>
          <w:szCs w:val="24"/>
        </w:rPr>
        <w:t>, 15:00 GMT</w:t>
      </w:r>
    </w:p>
    <w:p w14:paraId="536AFD99" w14:textId="77777777" w:rsidR="00CC6929" w:rsidRPr="00CC6929" w:rsidRDefault="00CC6929" w:rsidP="003D3351">
      <w:pPr>
        <w:pStyle w:val="Heading2"/>
      </w:pPr>
      <w:r w:rsidRPr="00CC6929">
        <w:t xml:space="preserve">Attendees: </w:t>
      </w:r>
    </w:p>
    <w:p w14:paraId="4A8FC1CE" w14:textId="77777777" w:rsidR="00CC6929" w:rsidRPr="00CC6929" w:rsidRDefault="00CC6929" w:rsidP="003D3351">
      <w:pPr>
        <w:spacing w:after="0"/>
        <w:rPr>
          <w:szCs w:val="24"/>
        </w:rPr>
      </w:pPr>
      <w:r w:rsidRPr="00CC6929">
        <w:rPr>
          <w:szCs w:val="24"/>
        </w:rPr>
        <w:t>Andrew Bowman (Director of Postgraduate Taught Programmes, Chair)</w:t>
      </w:r>
    </w:p>
    <w:p w14:paraId="2FB58D2C" w14:textId="5B9B6126" w:rsidR="00B031F5" w:rsidRDefault="00B031F5" w:rsidP="00B031F5">
      <w:pPr>
        <w:spacing w:after="0"/>
        <w:rPr>
          <w:szCs w:val="24"/>
        </w:rPr>
      </w:pPr>
      <w:r w:rsidRPr="00CC6929">
        <w:rPr>
          <w:szCs w:val="24"/>
        </w:rPr>
        <w:t xml:space="preserve">Germaine </w:t>
      </w:r>
      <w:proofErr w:type="spellStart"/>
      <w:r w:rsidRPr="00CC6929">
        <w:rPr>
          <w:szCs w:val="24"/>
        </w:rPr>
        <w:t>Uzayisenga</w:t>
      </w:r>
      <w:proofErr w:type="spellEnd"/>
      <w:r w:rsidRPr="00CC6929">
        <w:rPr>
          <w:szCs w:val="24"/>
        </w:rPr>
        <w:t xml:space="preserve"> (Global Challenges)</w:t>
      </w:r>
      <w:r w:rsidR="005C3A7C">
        <w:rPr>
          <w:szCs w:val="24"/>
        </w:rPr>
        <w:t xml:space="preserve"> </w:t>
      </w:r>
    </w:p>
    <w:p w14:paraId="56BD8AEE" w14:textId="677DAE7A" w:rsidR="008F3DE2" w:rsidRDefault="008F3DE2" w:rsidP="008F3DE2">
      <w:pPr>
        <w:spacing w:after="0"/>
        <w:rPr>
          <w:szCs w:val="24"/>
        </w:rPr>
      </w:pPr>
      <w:r w:rsidRPr="008F3DE2">
        <w:rPr>
          <w:szCs w:val="24"/>
        </w:rPr>
        <w:t>Euphrasia Atieno (International Development)</w:t>
      </w:r>
      <w:r w:rsidR="005C3A7C">
        <w:rPr>
          <w:szCs w:val="24"/>
        </w:rPr>
        <w:t xml:space="preserve"> </w:t>
      </w:r>
    </w:p>
    <w:p w14:paraId="4053BCC5" w14:textId="77777777" w:rsidR="0002338E" w:rsidRPr="008F3DE2" w:rsidRDefault="0002338E" w:rsidP="0002338E">
      <w:pPr>
        <w:spacing w:after="0"/>
        <w:rPr>
          <w:szCs w:val="24"/>
        </w:rPr>
      </w:pPr>
      <w:proofErr w:type="spellStart"/>
      <w:r w:rsidRPr="008F3DE2">
        <w:rPr>
          <w:szCs w:val="24"/>
        </w:rPr>
        <w:t>Taoheed</w:t>
      </w:r>
      <w:proofErr w:type="spellEnd"/>
      <w:r w:rsidRPr="008F3DE2">
        <w:rPr>
          <w:szCs w:val="24"/>
        </w:rPr>
        <w:t xml:space="preserve"> Dauda (International Development)</w:t>
      </w:r>
    </w:p>
    <w:p w14:paraId="1BE43015" w14:textId="206ED752" w:rsidR="00A854F1" w:rsidRDefault="00A854F1" w:rsidP="003D3351">
      <w:pPr>
        <w:spacing w:after="0"/>
        <w:rPr>
          <w:szCs w:val="24"/>
        </w:rPr>
      </w:pPr>
      <w:r>
        <w:rPr>
          <w:szCs w:val="24"/>
        </w:rPr>
        <w:t>Maria Brichs (</w:t>
      </w:r>
      <w:r w:rsidRPr="00A854F1">
        <w:rPr>
          <w:szCs w:val="24"/>
        </w:rPr>
        <w:t>Deputy Teaching Services Officer</w:t>
      </w:r>
      <w:r>
        <w:rPr>
          <w:szCs w:val="24"/>
        </w:rPr>
        <w:t>, Secretary)</w:t>
      </w:r>
    </w:p>
    <w:p w14:paraId="574717AA" w14:textId="6F9A02AD" w:rsidR="00AA12DB" w:rsidRDefault="00AA12DB" w:rsidP="00AA12DB">
      <w:pPr>
        <w:pStyle w:val="Heading2"/>
      </w:pPr>
      <w:r w:rsidRPr="00AA12DB">
        <w:t>Apologies:</w:t>
      </w:r>
    </w:p>
    <w:p w14:paraId="2100825B" w14:textId="273222C6" w:rsidR="005C3A7C" w:rsidRDefault="005C3A7C" w:rsidP="005C3A7C">
      <w:pPr>
        <w:spacing w:after="0"/>
        <w:rPr>
          <w:szCs w:val="24"/>
        </w:rPr>
      </w:pPr>
      <w:proofErr w:type="spellStart"/>
      <w:r w:rsidRPr="00CC6929">
        <w:rPr>
          <w:szCs w:val="24"/>
        </w:rPr>
        <w:t>Idorenyin</w:t>
      </w:r>
      <w:proofErr w:type="spellEnd"/>
      <w:r w:rsidRPr="00CC6929">
        <w:rPr>
          <w:szCs w:val="24"/>
        </w:rPr>
        <w:t xml:space="preserve"> John (Global Challenges)</w:t>
      </w:r>
    </w:p>
    <w:p w14:paraId="67B625B7" w14:textId="5722382B" w:rsidR="00BB325B" w:rsidRDefault="00BB325B" w:rsidP="00AA12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3526"/>
        <w:gridCol w:w="4818"/>
        <w:gridCol w:w="1135"/>
        <w:gridCol w:w="2410"/>
        <w:gridCol w:w="1478"/>
      </w:tblGrid>
      <w:tr w:rsidR="008F3DE2" w:rsidRPr="00D73A19" w14:paraId="1B827C34" w14:textId="77777777" w:rsidTr="000C7BF7">
        <w:trPr>
          <w:trHeight w:val="300"/>
        </w:trPr>
        <w:tc>
          <w:tcPr>
            <w:tcW w:w="208" w:type="pct"/>
            <w:shd w:val="clear" w:color="auto" w:fill="B8CCE4" w:themeFill="accent1" w:themeFillTint="66"/>
          </w:tcPr>
          <w:p w14:paraId="1F26968E" w14:textId="77777777" w:rsidR="008F3DE2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o.</w:t>
            </w:r>
          </w:p>
        </w:tc>
        <w:tc>
          <w:tcPr>
            <w:tcW w:w="1264" w:type="pct"/>
            <w:shd w:val="clear" w:color="auto" w:fill="B8CCE4" w:themeFill="accent1" w:themeFillTint="66"/>
          </w:tcPr>
          <w:p w14:paraId="266A94C9" w14:textId="77777777" w:rsidR="008F3DE2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>Query / concern context</w:t>
            </w:r>
          </w:p>
        </w:tc>
        <w:tc>
          <w:tcPr>
            <w:tcW w:w="1727" w:type="pct"/>
            <w:shd w:val="clear" w:color="auto" w:fill="B8CCE4" w:themeFill="accent1" w:themeFillTint="66"/>
          </w:tcPr>
          <w:p w14:paraId="61DABCA2" w14:textId="77777777" w:rsidR="008F3DE2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 xml:space="preserve">Response / action </w:t>
            </w:r>
          </w:p>
        </w:tc>
        <w:tc>
          <w:tcPr>
            <w:tcW w:w="407" w:type="pct"/>
            <w:shd w:val="clear" w:color="auto" w:fill="B8CCE4" w:themeFill="accent1" w:themeFillTint="66"/>
          </w:tcPr>
          <w:p w14:paraId="1F8375FC" w14:textId="77777777" w:rsidR="008F3DE2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>Assigned to</w:t>
            </w:r>
          </w:p>
        </w:tc>
        <w:tc>
          <w:tcPr>
            <w:tcW w:w="864" w:type="pct"/>
            <w:shd w:val="clear" w:color="auto" w:fill="B8CCE4" w:themeFill="accent1" w:themeFillTint="66"/>
          </w:tcPr>
          <w:p w14:paraId="115203F0" w14:textId="77777777" w:rsidR="008F3DE2" w:rsidRDefault="008F3DE2" w:rsidP="00B13AF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 on progress towards completion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30" w:type="pct"/>
            <w:shd w:val="clear" w:color="auto" w:fill="B8CCE4" w:themeFill="accent1" w:themeFillTint="66"/>
          </w:tcPr>
          <w:p w14:paraId="126DDB4B" w14:textId="77777777" w:rsidR="008F3DE2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>Date completed</w:t>
            </w:r>
          </w:p>
        </w:tc>
      </w:tr>
      <w:tr w:rsidR="008F3DE2" w:rsidRPr="00D73A19" w14:paraId="78050B6D" w14:textId="77777777" w:rsidTr="000C7BF7">
        <w:trPr>
          <w:trHeight w:val="750"/>
        </w:trPr>
        <w:tc>
          <w:tcPr>
            <w:tcW w:w="208" w:type="pct"/>
          </w:tcPr>
          <w:p w14:paraId="77E393F4" w14:textId="77777777" w:rsidR="008F3DE2" w:rsidRPr="001753D9" w:rsidRDefault="008F3DE2" w:rsidP="00B13AF5">
            <w:r w:rsidRPr="001753D9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1264" w:type="pct"/>
          </w:tcPr>
          <w:p w14:paraId="0169D689" w14:textId="20992B46" w:rsidR="00592E88" w:rsidRDefault="00592E88" w:rsidP="00B13AF5">
            <w:r w:rsidRPr="00761C3D">
              <w:rPr>
                <w:b/>
                <w:bCs/>
              </w:rPr>
              <w:t>Positive feedback</w:t>
            </w:r>
            <w:r>
              <w:t xml:space="preserve"> was noted to ensure good practice continues. </w:t>
            </w:r>
          </w:p>
          <w:p w14:paraId="2AE80D77" w14:textId="38887562" w:rsidR="00592E88" w:rsidRDefault="00592E88" w:rsidP="00B13AF5">
            <w:r>
              <w:t>Students welcomed the following:</w:t>
            </w:r>
          </w:p>
          <w:p w14:paraId="0D3EBE60" w14:textId="77777777" w:rsidR="00592E88" w:rsidRDefault="00592E88" w:rsidP="00592E88">
            <w:pPr>
              <w:pStyle w:val="ListParagraph"/>
              <w:numPr>
                <w:ilvl w:val="0"/>
                <w:numId w:val="13"/>
              </w:numPr>
            </w:pPr>
            <w:r>
              <w:t xml:space="preserve">regular </w:t>
            </w:r>
            <w:r w:rsidR="005C3A7C">
              <w:t>communications from course organisers</w:t>
            </w:r>
          </w:p>
          <w:p w14:paraId="1D7802CD" w14:textId="77777777" w:rsidR="00592E88" w:rsidRDefault="005C3A7C" w:rsidP="00592E88">
            <w:pPr>
              <w:pStyle w:val="ListParagraph"/>
              <w:numPr>
                <w:ilvl w:val="0"/>
                <w:numId w:val="13"/>
              </w:numPr>
            </w:pPr>
            <w:r>
              <w:t>contributions from different academics</w:t>
            </w:r>
            <w:r w:rsidR="00592E88">
              <w:t xml:space="preserve"> in one course</w:t>
            </w:r>
            <w:r>
              <w:t xml:space="preserve">, </w:t>
            </w:r>
            <w:r w:rsidR="00592E88">
              <w:t xml:space="preserve">with </w:t>
            </w:r>
            <w:r>
              <w:t>variety of backgrounds</w:t>
            </w:r>
          </w:p>
          <w:p w14:paraId="4F4E4DB9" w14:textId="77777777" w:rsidR="008F3DE2" w:rsidRDefault="005C3A7C" w:rsidP="00592E88">
            <w:pPr>
              <w:pStyle w:val="ListParagraph"/>
              <w:numPr>
                <w:ilvl w:val="0"/>
                <w:numId w:val="13"/>
              </w:numPr>
            </w:pPr>
            <w:r>
              <w:t>up-to-date course materials, including reflections on recent events</w:t>
            </w:r>
          </w:p>
          <w:p w14:paraId="29FA88D6" w14:textId="37CC6D49" w:rsidR="00592E88" w:rsidRPr="001753D9" w:rsidRDefault="00592E88" w:rsidP="00592E88">
            <w:pPr>
              <w:pStyle w:val="ListParagraph"/>
              <w:numPr>
                <w:ilvl w:val="0"/>
                <w:numId w:val="13"/>
              </w:numPr>
            </w:pPr>
            <w:r>
              <w:t xml:space="preserve">receiving </w:t>
            </w:r>
            <w:r w:rsidR="00394CD2">
              <w:t xml:space="preserve">marks and </w:t>
            </w:r>
            <w:r>
              <w:t>feedback on time</w:t>
            </w:r>
          </w:p>
        </w:tc>
        <w:tc>
          <w:tcPr>
            <w:tcW w:w="1727" w:type="pct"/>
          </w:tcPr>
          <w:p w14:paraId="0B603936" w14:textId="0959D00C" w:rsidR="008F3DE2" w:rsidRPr="001753D9" w:rsidRDefault="009260E9" w:rsidP="009260E9">
            <w:pPr>
              <w:pStyle w:val="ListParagraph"/>
              <w:numPr>
                <w:ilvl w:val="0"/>
                <w:numId w:val="13"/>
              </w:numPr>
            </w:pPr>
            <w:r>
              <w:t xml:space="preserve">Pass feedback </w:t>
            </w:r>
            <w:r w:rsidR="00785A29">
              <w:t>to course organisers</w:t>
            </w:r>
            <w:r>
              <w:t>.</w:t>
            </w:r>
          </w:p>
        </w:tc>
        <w:tc>
          <w:tcPr>
            <w:tcW w:w="407" w:type="pct"/>
          </w:tcPr>
          <w:p w14:paraId="057F7A54" w14:textId="479CC0FF" w:rsidR="008F3DE2" w:rsidRPr="001753D9" w:rsidRDefault="00FD51FA" w:rsidP="00B13AF5">
            <w:r>
              <w:t>AB</w:t>
            </w:r>
          </w:p>
        </w:tc>
        <w:tc>
          <w:tcPr>
            <w:tcW w:w="864" w:type="pct"/>
          </w:tcPr>
          <w:p w14:paraId="43915C75" w14:textId="35FAD3EB" w:rsidR="008F3DE2" w:rsidRPr="001753D9" w:rsidRDefault="00592E88" w:rsidP="00B13A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530" w:type="pct"/>
          </w:tcPr>
          <w:p w14:paraId="3A94C2E1" w14:textId="77777777" w:rsidR="008F3DE2" w:rsidRPr="001753D9" w:rsidRDefault="008F3DE2" w:rsidP="00B13AF5"/>
        </w:tc>
      </w:tr>
      <w:tr w:rsidR="008F3DE2" w:rsidRPr="00D73A19" w14:paraId="3BC01B21" w14:textId="77777777" w:rsidTr="000C7BF7">
        <w:trPr>
          <w:trHeight w:val="300"/>
        </w:trPr>
        <w:tc>
          <w:tcPr>
            <w:tcW w:w="208" w:type="pct"/>
          </w:tcPr>
          <w:p w14:paraId="74943EB1" w14:textId="77777777" w:rsidR="008F3DE2" w:rsidRDefault="008F3DE2" w:rsidP="00B13AF5">
            <w:r w:rsidRPr="6143CD24">
              <w:rPr>
                <w:rFonts w:ascii="Calibri" w:eastAsia="Calibri" w:hAnsi="Calibri" w:cs="Calibri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64" w:type="pct"/>
          </w:tcPr>
          <w:p w14:paraId="777C31CF" w14:textId="37A362AD" w:rsidR="00FD51FA" w:rsidRPr="00761C3D" w:rsidRDefault="00592E88" w:rsidP="00B13AF5">
            <w:pPr>
              <w:rPr>
                <w:b/>
                <w:bCs/>
              </w:rPr>
            </w:pPr>
            <w:r w:rsidRPr="00761C3D">
              <w:rPr>
                <w:b/>
                <w:bCs/>
              </w:rPr>
              <w:t xml:space="preserve">Some readings </w:t>
            </w:r>
            <w:r w:rsidR="00394CD2">
              <w:rPr>
                <w:b/>
                <w:bCs/>
              </w:rPr>
              <w:t>are not</w:t>
            </w:r>
            <w:r w:rsidR="00FD51FA" w:rsidRPr="00761C3D">
              <w:rPr>
                <w:b/>
                <w:bCs/>
              </w:rPr>
              <w:t xml:space="preserve"> up-to-date</w:t>
            </w:r>
          </w:p>
          <w:p w14:paraId="13B5752A" w14:textId="215BCE47" w:rsidR="00FD51FA" w:rsidRPr="00AC2F77" w:rsidRDefault="00FD51FA" w:rsidP="00B13AF5"/>
        </w:tc>
        <w:tc>
          <w:tcPr>
            <w:tcW w:w="1727" w:type="pct"/>
          </w:tcPr>
          <w:p w14:paraId="0030C660" w14:textId="4948C650" w:rsidR="008F3DE2" w:rsidRDefault="00592E88" w:rsidP="00B13AF5">
            <w:r>
              <w:t>It was clarified that the a</w:t>
            </w:r>
            <w:r w:rsidR="00FD51FA">
              <w:t xml:space="preserve">ge of readings issue is complex. There </w:t>
            </w:r>
            <w:r w:rsidR="00394CD2">
              <w:t>will</w:t>
            </w:r>
            <w:r w:rsidR="00FD51FA">
              <w:t xml:space="preserve"> be texts that </w:t>
            </w:r>
            <w:r w:rsidR="00394CD2">
              <w:t>are</w:t>
            </w:r>
            <w:r w:rsidR="00FD51FA">
              <w:t xml:space="preserve"> old but </w:t>
            </w:r>
            <w:r w:rsidR="00394CD2">
              <w:t>are</w:t>
            </w:r>
            <w:r w:rsidR="00FD51FA">
              <w:t xml:space="preserve"> important because they </w:t>
            </w:r>
            <w:r w:rsidR="00394CD2">
              <w:t>have</w:t>
            </w:r>
            <w:r w:rsidR="00FD51FA">
              <w:t xml:space="preserve"> been influential in the field, or </w:t>
            </w:r>
            <w:r>
              <w:t xml:space="preserve">because it </w:t>
            </w:r>
            <w:r w:rsidR="00394CD2">
              <w:t>is</w:t>
            </w:r>
            <w:r w:rsidR="00FD51FA">
              <w:t xml:space="preserve"> important to understand what was happening at a certain time in history. That said, it </w:t>
            </w:r>
            <w:r w:rsidR="009260E9">
              <w:t>is</w:t>
            </w:r>
            <w:r w:rsidR="00FD51FA">
              <w:t xml:space="preserve"> important that courses ha</w:t>
            </w:r>
            <w:r w:rsidR="009260E9">
              <w:t>ve</w:t>
            </w:r>
            <w:r w:rsidR="00FD51FA">
              <w:t xml:space="preserve"> fresh materials and that reading lists </w:t>
            </w:r>
            <w:r w:rsidR="009260E9">
              <w:t>are</w:t>
            </w:r>
            <w:r w:rsidR="00785A29">
              <w:t xml:space="preserve"> </w:t>
            </w:r>
            <w:r w:rsidR="00FD51FA">
              <w:t>review</w:t>
            </w:r>
            <w:r w:rsidR="00785A29">
              <w:t>ed each year</w:t>
            </w:r>
            <w:r w:rsidR="00FD51FA">
              <w:t>.</w:t>
            </w:r>
          </w:p>
          <w:p w14:paraId="123B0BF0" w14:textId="49E28BD3" w:rsidR="00FD51FA" w:rsidRDefault="00785A29" w:rsidP="00761C3D">
            <w:pPr>
              <w:pStyle w:val="ListParagraph"/>
              <w:numPr>
                <w:ilvl w:val="0"/>
                <w:numId w:val="14"/>
              </w:numPr>
            </w:pPr>
            <w:r>
              <w:t>Reps to encourage s</w:t>
            </w:r>
            <w:r w:rsidR="00FD51FA">
              <w:t xml:space="preserve">tudents to provide feedback via the course survey if </w:t>
            </w:r>
            <w:r>
              <w:t xml:space="preserve">this </w:t>
            </w:r>
            <w:r w:rsidR="00761C3D">
              <w:t>is an issue.</w:t>
            </w:r>
          </w:p>
          <w:p w14:paraId="335C7FBC" w14:textId="3CA7F3A6" w:rsidR="00785A29" w:rsidRPr="00AC2F77" w:rsidRDefault="00785A29" w:rsidP="00B13AF5"/>
        </w:tc>
        <w:tc>
          <w:tcPr>
            <w:tcW w:w="407" w:type="pct"/>
          </w:tcPr>
          <w:p w14:paraId="7E9D20F7" w14:textId="63A4D98A" w:rsidR="008F3DE2" w:rsidRPr="00AC2F77" w:rsidRDefault="00FD51FA" w:rsidP="00B13AF5">
            <w:r>
              <w:t xml:space="preserve">Reps </w:t>
            </w:r>
          </w:p>
        </w:tc>
        <w:tc>
          <w:tcPr>
            <w:tcW w:w="864" w:type="pct"/>
          </w:tcPr>
          <w:p w14:paraId="6D06A37B" w14:textId="694896C2" w:rsidR="008F3DE2" w:rsidRDefault="008F3DE2" w:rsidP="00B13A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</w:tcPr>
          <w:p w14:paraId="32BA9A59" w14:textId="77777777" w:rsidR="008F3DE2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8F3DE2" w:rsidRPr="00D73A19" w14:paraId="0E4FE4C5" w14:textId="77777777" w:rsidTr="000C7BF7">
        <w:trPr>
          <w:trHeight w:val="300"/>
        </w:trPr>
        <w:tc>
          <w:tcPr>
            <w:tcW w:w="208" w:type="pct"/>
          </w:tcPr>
          <w:p w14:paraId="53DD8FD0" w14:textId="77777777" w:rsidR="008F3DE2" w:rsidRDefault="008F3DE2" w:rsidP="00B13AF5">
            <w:r w:rsidRPr="6143CD2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64" w:type="pct"/>
          </w:tcPr>
          <w:p w14:paraId="1FDED367" w14:textId="215AEA6F" w:rsidR="008F3DE2" w:rsidRDefault="00FF5F59" w:rsidP="00B13AF5">
            <w:r w:rsidRPr="00761C3D">
              <w:rPr>
                <w:b/>
                <w:bCs/>
              </w:rPr>
              <w:t xml:space="preserve">Uncertainty on which </w:t>
            </w:r>
            <w:r w:rsidR="00785A29" w:rsidRPr="00761C3D">
              <w:rPr>
                <w:b/>
                <w:bCs/>
              </w:rPr>
              <w:t>support</w:t>
            </w:r>
            <w:r w:rsidRPr="00761C3D">
              <w:rPr>
                <w:b/>
                <w:bCs/>
              </w:rPr>
              <w:t xml:space="preserve"> tools are permitted</w:t>
            </w:r>
            <w:r>
              <w:t xml:space="preserve"> </w:t>
            </w:r>
            <w:r w:rsidR="00785A29">
              <w:t>(e.g., to check grammar)</w:t>
            </w:r>
          </w:p>
        </w:tc>
        <w:tc>
          <w:tcPr>
            <w:tcW w:w="1727" w:type="pct"/>
          </w:tcPr>
          <w:p w14:paraId="14B98504" w14:textId="35FC74FB" w:rsidR="008F3DE2" w:rsidRDefault="00FF5F59" w:rsidP="00B13AF5">
            <w:r>
              <w:t xml:space="preserve">The University has rules about using </w:t>
            </w:r>
            <w:proofErr w:type="spellStart"/>
            <w:r>
              <w:t>GenAI</w:t>
            </w:r>
            <w:proofErr w:type="spellEnd"/>
            <w:r>
              <w:t xml:space="preserve"> tools but course organisers are empowered to set their own standards at course level. The rules should be clear in the course Learn page. </w:t>
            </w:r>
          </w:p>
          <w:p w14:paraId="5E85E4B4" w14:textId="36694924" w:rsidR="00785A29" w:rsidRDefault="00FF5F59" w:rsidP="00B13AF5">
            <w:r>
              <w:t>It is permissible for students to use tools for improving grammar</w:t>
            </w:r>
            <w:r w:rsidR="000C7BF7">
              <w:t xml:space="preserve"> – this is included in the “Use of AI” statement in the Learn page for each course. University guidance is here:</w:t>
            </w:r>
          </w:p>
          <w:p w14:paraId="03A6A26C" w14:textId="6F853BCE" w:rsidR="00FF5F59" w:rsidRDefault="00D972C4" w:rsidP="00B13AF5">
            <w:hyperlink r:id="rId10" w:history="1">
              <w:r w:rsidR="00785A29">
                <w:rPr>
                  <w:rStyle w:val="Hyperlink"/>
                </w:rPr>
                <w:t>Using generative AI in your studies: guidelines for students</w:t>
              </w:r>
            </w:hyperlink>
            <w:r w:rsidR="00785A29">
              <w:t xml:space="preserve"> </w:t>
            </w:r>
          </w:p>
          <w:p w14:paraId="65543B74" w14:textId="77EF9159" w:rsidR="00785A29" w:rsidRDefault="00785A29" w:rsidP="00761C3D">
            <w:pPr>
              <w:pStyle w:val="ListParagraph"/>
              <w:numPr>
                <w:ilvl w:val="0"/>
                <w:numId w:val="14"/>
              </w:numPr>
            </w:pPr>
            <w:r>
              <w:t>Reps to encourage students to contact the Course Organiser if it is unclear which tools can be used in a particular course.</w:t>
            </w:r>
          </w:p>
          <w:p w14:paraId="192463CF" w14:textId="14613D52" w:rsidR="00FF5F59" w:rsidRDefault="00FF5F59" w:rsidP="00B13AF5"/>
        </w:tc>
        <w:tc>
          <w:tcPr>
            <w:tcW w:w="407" w:type="pct"/>
          </w:tcPr>
          <w:p w14:paraId="2415B0A7" w14:textId="7454E55A" w:rsidR="008F3DE2" w:rsidRPr="00AC2F77" w:rsidRDefault="00785A29" w:rsidP="00B13AF5">
            <w:r>
              <w:t>Reps</w:t>
            </w:r>
          </w:p>
        </w:tc>
        <w:tc>
          <w:tcPr>
            <w:tcW w:w="864" w:type="pct"/>
          </w:tcPr>
          <w:p w14:paraId="6F26AFD6" w14:textId="77777777" w:rsidR="008F3DE2" w:rsidRDefault="008F3DE2" w:rsidP="00B13AF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30" w:type="pct"/>
          </w:tcPr>
          <w:p w14:paraId="3A349549" w14:textId="4C9A018A" w:rsidR="008F3DE2" w:rsidRPr="00785A29" w:rsidRDefault="008F3DE2" w:rsidP="00B13AF5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85A29" w:rsidRPr="00785A29">
              <w:rPr>
                <w:rFonts w:ascii="Calibri" w:eastAsia="Calibri" w:hAnsi="Calibri" w:cs="Calibri"/>
              </w:rPr>
              <w:t>N/A</w:t>
            </w:r>
          </w:p>
        </w:tc>
      </w:tr>
      <w:tr w:rsidR="002F70C4" w:rsidRPr="00D73A19" w14:paraId="7C93F964" w14:textId="77777777" w:rsidTr="000C7BF7">
        <w:trPr>
          <w:trHeight w:val="300"/>
        </w:trPr>
        <w:tc>
          <w:tcPr>
            <w:tcW w:w="208" w:type="pct"/>
          </w:tcPr>
          <w:p w14:paraId="1126B085" w14:textId="53D36A69" w:rsidR="002F70C4" w:rsidRPr="002F70C4" w:rsidRDefault="002F70C4" w:rsidP="00B13AF5">
            <w:pPr>
              <w:rPr>
                <w:rFonts w:ascii="Calibri" w:eastAsia="Calibri" w:hAnsi="Calibri" w:cs="Calibri"/>
              </w:rPr>
            </w:pPr>
            <w:r w:rsidRPr="002F70C4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64" w:type="pct"/>
          </w:tcPr>
          <w:p w14:paraId="40261131" w14:textId="4AD2CB79" w:rsidR="00761C3D" w:rsidRPr="00761C3D" w:rsidRDefault="00761C3D" w:rsidP="00B13AF5">
            <w:pPr>
              <w:rPr>
                <w:b/>
                <w:bCs/>
              </w:rPr>
            </w:pPr>
            <w:r w:rsidRPr="00761C3D">
              <w:rPr>
                <w:b/>
                <w:bCs/>
              </w:rPr>
              <w:t>Flexibility on weekly deadlines</w:t>
            </w:r>
          </w:p>
          <w:p w14:paraId="789F19BD" w14:textId="392BB57A" w:rsidR="002F70C4" w:rsidRDefault="00785A29" w:rsidP="00B13AF5">
            <w:r>
              <w:t>Students w</w:t>
            </w:r>
            <w:r w:rsidR="002F70C4">
              <w:t>ould like more flexibility for weekly discussion participation submission deadlines</w:t>
            </w:r>
            <w:r w:rsidR="009028B7">
              <w:t xml:space="preserve"> – some students can only do coursework at weekends </w:t>
            </w:r>
            <w:r w:rsidR="009028B7">
              <w:lastRenderedPageBreak/>
              <w:t>and are catching up on the workload for the previous week o</w:t>
            </w:r>
            <w:r w:rsidR="00761C3D">
              <w:t>ver</w:t>
            </w:r>
            <w:r w:rsidR="009028B7">
              <w:t xml:space="preserve"> the first weekend.</w:t>
            </w:r>
          </w:p>
          <w:p w14:paraId="144E8CA0" w14:textId="3F3B1144" w:rsidR="009F56CE" w:rsidRDefault="009F56CE" w:rsidP="00B13AF5">
            <w:r>
              <w:t xml:space="preserve">Students contributing at the end of the </w:t>
            </w:r>
            <w:r w:rsidR="00785A29">
              <w:t xml:space="preserve">participation </w:t>
            </w:r>
            <w:r>
              <w:t xml:space="preserve">window </w:t>
            </w:r>
            <w:r w:rsidR="000B770E">
              <w:t>are likely to</w:t>
            </w:r>
            <w:r>
              <w:t xml:space="preserve"> get less feedback from peers and tutors.</w:t>
            </w:r>
          </w:p>
        </w:tc>
        <w:tc>
          <w:tcPr>
            <w:tcW w:w="1727" w:type="pct"/>
          </w:tcPr>
          <w:p w14:paraId="61FEF971" w14:textId="4CEDECF9" w:rsidR="002F70C4" w:rsidRDefault="00785A29" w:rsidP="00B13AF5">
            <w:r>
              <w:lastRenderedPageBreak/>
              <w:t>It was confirmed that s</w:t>
            </w:r>
            <w:r w:rsidR="009028B7">
              <w:t xml:space="preserve">ome courses </w:t>
            </w:r>
            <w:r>
              <w:t>were</w:t>
            </w:r>
            <w:r w:rsidR="009028B7">
              <w:t xml:space="preserve"> reviewing the assessment structure and this</w:t>
            </w:r>
            <w:r>
              <w:t xml:space="preserve"> issue could</w:t>
            </w:r>
            <w:r w:rsidR="009028B7">
              <w:t xml:space="preserve"> be taken into account.</w:t>
            </w:r>
          </w:p>
          <w:p w14:paraId="256A775F" w14:textId="43D6F64E" w:rsidR="002A5BBD" w:rsidRDefault="00785A29" w:rsidP="00B13AF5">
            <w:r>
              <w:t xml:space="preserve">The </w:t>
            </w:r>
            <w:r w:rsidR="00761C3D">
              <w:t>d</w:t>
            </w:r>
            <w:r w:rsidR="002A5BBD">
              <w:t xml:space="preserve">iscussion boards </w:t>
            </w:r>
            <w:r>
              <w:t xml:space="preserve">are key </w:t>
            </w:r>
            <w:r w:rsidR="002A5BBD">
              <w:t>to keep students engaged and interacting with each other.</w:t>
            </w:r>
          </w:p>
          <w:p w14:paraId="7C2471C8" w14:textId="56C28BEB" w:rsidR="002A5BBD" w:rsidRDefault="002A5BBD" w:rsidP="00B13AF5">
            <w:r>
              <w:lastRenderedPageBreak/>
              <w:t xml:space="preserve">GU suggested group work could be part of the </w:t>
            </w:r>
            <w:r w:rsidR="00761C3D">
              <w:t>assessment mix.</w:t>
            </w:r>
          </w:p>
          <w:p w14:paraId="10B753EC" w14:textId="57DFCFF4" w:rsidR="00CC0302" w:rsidRDefault="00CC0302" w:rsidP="00B13AF5">
            <w:r>
              <w:t xml:space="preserve">EA </w:t>
            </w:r>
            <w:r w:rsidR="00785A29">
              <w:t>pointed to the assessment model in the course</w:t>
            </w:r>
            <w:r w:rsidR="00FB6A77">
              <w:t xml:space="preserve"> </w:t>
            </w:r>
            <w:r w:rsidR="00FB6A77" w:rsidRPr="00FB6A77">
              <w:rPr>
                <w:i/>
                <w:iCs/>
              </w:rPr>
              <w:t>Community Engagement: co-constructing knowledge with communities</w:t>
            </w:r>
            <w:r w:rsidR="00785A29">
              <w:t xml:space="preserve"> </w:t>
            </w:r>
            <w:r w:rsidR="00761C3D">
              <w:t>which</w:t>
            </w:r>
            <w:r>
              <w:t xml:space="preserve"> includes </w:t>
            </w:r>
            <w:r w:rsidR="00FB6A77">
              <w:t>a digital portfolio with a structured peer-review component that facilitates interaction and engagement.</w:t>
            </w:r>
          </w:p>
          <w:p w14:paraId="24759358" w14:textId="04262AAF" w:rsidR="00FB6A77" w:rsidRDefault="00761C3D" w:rsidP="00761C3D">
            <w:pPr>
              <w:pStyle w:val="ListParagraph"/>
              <w:numPr>
                <w:ilvl w:val="0"/>
                <w:numId w:val="14"/>
              </w:numPr>
            </w:pPr>
            <w:r>
              <w:t>Raise</w:t>
            </w:r>
            <w:r w:rsidR="00FB6A77">
              <w:t xml:space="preserve"> with the Programme Directors/Course Organisers.</w:t>
            </w:r>
          </w:p>
        </w:tc>
        <w:tc>
          <w:tcPr>
            <w:tcW w:w="407" w:type="pct"/>
          </w:tcPr>
          <w:p w14:paraId="4DA259CE" w14:textId="058A074C" w:rsidR="002F70C4" w:rsidRDefault="009028B7" w:rsidP="00B13AF5">
            <w:r>
              <w:lastRenderedPageBreak/>
              <w:t>AB</w:t>
            </w:r>
          </w:p>
        </w:tc>
        <w:tc>
          <w:tcPr>
            <w:tcW w:w="864" w:type="pct"/>
          </w:tcPr>
          <w:p w14:paraId="685C0E92" w14:textId="77777777" w:rsidR="002F70C4" w:rsidRDefault="002F70C4" w:rsidP="00B13AF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30" w:type="pct"/>
          </w:tcPr>
          <w:p w14:paraId="2EA7F5F8" w14:textId="77777777" w:rsidR="002F70C4" w:rsidRPr="6143CD24" w:rsidRDefault="002F70C4" w:rsidP="00B13AF5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38E" w:rsidRPr="00D73A19" w14:paraId="61F54F27" w14:textId="77777777" w:rsidTr="000C7BF7">
        <w:trPr>
          <w:trHeight w:val="300"/>
        </w:trPr>
        <w:tc>
          <w:tcPr>
            <w:tcW w:w="208" w:type="pct"/>
          </w:tcPr>
          <w:p w14:paraId="7D5921D2" w14:textId="1AEA77AB" w:rsidR="0002338E" w:rsidRPr="002F70C4" w:rsidRDefault="0002338E" w:rsidP="00B13A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64" w:type="pct"/>
          </w:tcPr>
          <w:p w14:paraId="5F735FC3" w14:textId="6E23A8E0" w:rsidR="0002338E" w:rsidRDefault="00FB6A77" w:rsidP="00B13AF5">
            <w:r w:rsidRPr="00761C3D">
              <w:rPr>
                <w:b/>
                <w:bCs/>
              </w:rPr>
              <w:t>Students would like to be able to edit discussion posts</w:t>
            </w:r>
            <w:r>
              <w:t xml:space="preserve"> to correct errors</w:t>
            </w:r>
          </w:p>
        </w:tc>
        <w:tc>
          <w:tcPr>
            <w:tcW w:w="1727" w:type="pct"/>
          </w:tcPr>
          <w:p w14:paraId="113A9B72" w14:textId="6F9EFD9B" w:rsidR="0002338E" w:rsidRDefault="000C7BF7" w:rsidP="000C7BF7">
            <w:r>
              <w:t xml:space="preserve">This </w:t>
            </w:r>
            <w:r w:rsidR="00761C3D">
              <w:t>is</w:t>
            </w:r>
            <w:r>
              <w:t xml:space="preserve"> an issue that </w:t>
            </w:r>
            <w:r w:rsidR="00761C3D">
              <w:t>has</w:t>
            </w:r>
            <w:r>
              <w:t xml:space="preserve"> been brought up over the years and discussed with Course Organisers and Learning Technology colleagues. It was decided that posts would be un-editable because w</w:t>
            </w:r>
            <w:r w:rsidRPr="000C7BF7">
              <w:t>hen a post is edited, it is marked as “edited” but there is no record of what it previously contained</w:t>
            </w:r>
            <w:r>
              <w:t>. If the post had replies, it could make the conversation hard to follow.</w:t>
            </w:r>
          </w:p>
          <w:p w14:paraId="323D2C41" w14:textId="77777777" w:rsidR="000C7BF7" w:rsidRDefault="000C7BF7" w:rsidP="000C7BF7">
            <w:r>
              <w:t>Being unable to edit also encourages students to think about what they are posting.</w:t>
            </w:r>
          </w:p>
          <w:p w14:paraId="682D9A06" w14:textId="117CF2D3" w:rsidR="000C7BF7" w:rsidRDefault="000C7BF7" w:rsidP="000C7BF7">
            <w:r>
              <w:t>It was confirmed students would not be marked down for minor grammatical/spelling errors.</w:t>
            </w:r>
          </w:p>
        </w:tc>
        <w:tc>
          <w:tcPr>
            <w:tcW w:w="407" w:type="pct"/>
          </w:tcPr>
          <w:p w14:paraId="387ABE62" w14:textId="579BE420" w:rsidR="0002338E" w:rsidRDefault="000C7BF7" w:rsidP="00B13AF5">
            <w:r>
              <w:t>N/A</w:t>
            </w:r>
          </w:p>
        </w:tc>
        <w:tc>
          <w:tcPr>
            <w:tcW w:w="864" w:type="pct"/>
          </w:tcPr>
          <w:p w14:paraId="57E68626" w14:textId="77777777" w:rsidR="0002338E" w:rsidRDefault="0002338E" w:rsidP="00B13AF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30" w:type="pct"/>
          </w:tcPr>
          <w:p w14:paraId="41B543C2" w14:textId="2B94A2D2" w:rsidR="0002338E" w:rsidRPr="000C7BF7" w:rsidRDefault="000C7BF7" w:rsidP="00B13AF5">
            <w:pPr>
              <w:rPr>
                <w:rFonts w:ascii="Calibri" w:eastAsia="Calibri" w:hAnsi="Calibri" w:cs="Calibri"/>
              </w:rPr>
            </w:pPr>
            <w:r w:rsidRPr="000C7BF7">
              <w:rPr>
                <w:rFonts w:ascii="Calibri" w:eastAsia="Calibri" w:hAnsi="Calibri" w:cs="Calibri"/>
              </w:rPr>
              <w:t>N/A</w:t>
            </w:r>
          </w:p>
        </w:tc>
      </w:tr>
    </w:tbl>
    <w:p w14:paraId="29128CF4" w14:textId="77777777" w:rsidR="00D73A19" w:rsidRPr="00D73A19" w:rsidRDefault="00D73A19" w:rsidP="00FB6A77">
      <w:pPr>
        <w:rPr>
          <w:rFonts w:ascii="Arial" w:hAnsi="Arial" w:cs="Arial"/>
        </w:rPr>
      </w:pPr>
    </w:p>
    <w:sectPr w:rsidR="00D73A19" w:rsidRPr="00D73A19" w:rsidSect="00AA12DB">
      <w:headerReference w:type="default" r:id="rId11"/>
      <w:footerReference w:type="default" r:id="rId12"/>
      <w:pgSz w:w="16838" w:h="11906" w:orient="landscape"/>
      <w:pgMar w:top="142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33EA" w14:textId="77777777" w:rsidR="009947C3" w:rsidRDefault="009947C3" w:rsidP="009D0444">
      <w:pPr>
        <w:spacing w:after="0" w:line="240" w:lineRule="auto"/>
      </w:pPr>
      <w:r>
        <w:separator/>
      </w:r>
    </w:p>
  </w:endnote>
  <w:endnote w:type="continuationSeparator" w:id="0">
    <w:p w14:paraId="7AB0224A" w14:textId="77777777" w:rsidR="009947C3" w:rsidRDefault="009947C3" w:rsidP="009D0444">
      <w:pPr>
        <w:spacing w:after="0" w:line="240" w:lineRule="auto"/>
      </w:pPr>
      <w:r>
        <w:continuationSeparator/>
      </w:r>
    </w:p>
  </w:endnote>
  <w:endnote w:type="continuationNotice" w:id="1">
    <w:p w14:paraId="4314D9ED" w14:textId="77777777" w:rsidR="009947C3" w:rsidRDefault="00994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039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6AACE0" w14:textId="6323BF91" w:rsidR="008C1D12" w:rsidRDefault="008C1D1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6D65BF" w14:textId="77777777" w:rsidR="008C1D12" w:rsidRDefault="008C1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32A7" w14:textId="77777777" w:rsidR="009947C3" w:rsidRDefault="009947C3" w:rsidP="009D0444">
      <w:pPr>
        <w:spacing w:after="0" w:line="240" w:lineRule="auto"/>
      </w:pPr>
      <w:r>
        <w:separator/>
      </w:r>
    </w:p>
  </w:footnote>
  <w:footnote w:type="continuationSeparator" w:id="0">
    <w:p w14:paraId="05079BE8" w14:textId="77777777" w:rsidR="009947C3" w:rsidRDefault="009947C3" w:rsidP="009D0444">
      <w:pPr>
        <w:spacing w:after="0" w:line="240" w:lineRule="auto"/>
      </w:pPr>
      <w:r>
        <w:continuationSeparator/>
      </w:r>
    </w:p>
  </w:footnote>
  <w:footnote w:type="continuationNotice" w:id="1">
    <w:p w14:paraId="3E9BF994" w14:textId="77777777" w:rsidR="009947C3" w:rsidRDefault="00994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C32B" w14:textId="0B48FB83" w:rsidR="008C1D12" w:rsidRPr="008C1D12" w:rsidRDefault="008C1D12">
    <w:pPr>
      <w:pStyle w:val="Header"/>
      <w:rPr>
        <w:rFonts w:asciiTheme="majorHAnsi" w:hAnsiTheme="majorHAnsi"/>
        <w:b/>
        <w:bCs/>
        <w:sz w:val="32"/>
        <w:szCs w:val="32"/>
      </w:rPr>
    </w:pPr>
    <w:r w:rsidRPr="008C1D12">
      <w:rPr>
        <w:rFonts w:asciiTheme="majorHAnsi" w:hAnsiTheme="majorHAnsi"/>
        <w:b/>
        <w:bCs/>
        <w:sz w:val="32"/>
        <w:szCs w:val="32"/>
      </w:rPr>
      <w:t>Student-Staff Liaison Committee: Online programmes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FFF"/>
    <w:multiLevelType w:val="hybridMultilevel"/>
    <w:tmpl w:val="F28EF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720DB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2819"/>
    <w:multiLevelType w:val="hybridMultilevel"/>
    <w:tmpl w:val="AB1CD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B2C77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23F4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51B1"/>
    <w:multiLevelType w:val="hybridMultilevel"/>
    <w:tmpl w:val="CF0C85B6"/>
    <w:lvl w:ilvl="0" w:tplc="5A8E8304">
      <w:start w:val="1"/>
      <w:numFmt w:val="upperLetter"/>
      <w:lvlText w:val="%1."/>
      <w:lvlJc w:val="left"/>
      <w:pPr>
        <w:ind w:left="408" w:hanging="360"/>
      </w:pPr>
      <w:rPr>
        <w:rFonts w:ascii="Calibri" w:eastAsia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CFA759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0C3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86010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436F"/>
    <w:multiLevelType w:val="hybridMultilevel"/>
    <w:tmpl w:val="B008B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1C86076">
      <w:numFmt w:val="bullet"/>
      <w:lvlText w:val="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D89"/>
    <w:multiLevelType w:val="hybridMultilevel"/>
    <w:tmpl w:val="188A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B2B4F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F4AE7"/>
    <w:multiLevelType w:val="hybridMultilevel"/>
    <w:tmpl w:val="8E7E0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FF15FB"/>
    <w:multiLevelType w:val="hybridMultilevel"/>
    <w:tmpl w:val="E6A03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5"/>
    <w:rsid w:val="000005FA"/>
    <w:rsid w:val="0000608E"/>
    <w:rsid w:val="000117E8"/>
    <w:rsid w:val="0002338E"/>
    <w:rsid w:val="000238BA"/>
    <w:rsid w:val="00033F28"/>
    <w:rsid w:val="00051605"/>
    <w:rsid w:val="0006137C"/>
    <w:rsid w:val="0007768C"/>
    <w:rsid w:val="000978C4"/>
    <w:rsid w:val="000978E0"/>
    <w:rsid w:val="000A104B"/>
    <w:rsid w:val="000B770E"/>
    <w:rsid w:val="000C5AAD"/>
    <w:rsid w:val="000C6EED"/>
    <w:rsid w:val="000C7BF7"/>
    <w:rsid w:val="000D02A5"/>
    <w:rsid w:val="000E4B3C"/>
    <w:rsid w:val="000F24C4"/>
    <w:rsid w:val="0011357C"/>
    <w:rsid w:val="00124EBA"/>
    <w:rsid w:val="00127CB5"/>
    <w:rsid w:val="00142B83"/>
    <w:rsid w:val="0014437C"/>
    <w:rsid w:val="00155615"/>
    <w:rsid w:val="001659C9"/>
    <w:rsid w:val="001733F8"/>
    <w:rsid w:val="001753D9"/>
    <w:rsid w:val="001911C6"/>
    <w:rsid w:val="00191DFB"/>
    <w:rsid w:val="00192A5A"/>
    <w:rsid w:val="001B3842"/>
    <w:rsid w:val="001D7ECC"/>
    <w:rsid w:val="001E4F4A"/>
    <w:rsid w:val="002109DA"/>
    <w:rsid w:val="00212FC3"/>
    <w:rsid w:val="00226879"/>
    <w:rsid w:val="0023716C"/>
    <w:rsid w:val="002552AA"/>
    <w:rsid w:val="00260CB2"/>
    <w:rsid w:val="00273B24"/>
    <w:rsid w:val="002744A9"/>
    <w:rsid w:val="002804B6"/>
    <w:rsid w:val="00296B98"/>
    <w:rsid w:val="002A365E"/>
    <w:rsid w:val="002A5BBD"/>
    <w:rsid w:val="002B2C01"/>
    <w:rsid w:val="002B5BF2"/>
    <w:rsid w:val="002D1668"/>
    <w:rsid w:val="002D238E"/>
    <w:rsid w:val="002F70C4"/>
    <w:rsid w:val="00311254"/>
    <w:rsid w:val="00317841"/>
    <w:rsid w:val="00323275"/>
    <w:rsid w:val="00332C9E"/>
    <w:rsid w:val="00352BAD"/>
    <w:rsid w:val="003874F1"/>
    <w:rsid w:val="00394CD2"/>
    <w:rsid w:val="00396080"/>
    <w:rsid w:val="00397B56"/>
    <w:rsid w:val="003A4E23"/>
    <w:rsid w:val="003C4096"/>
    <w:rsid w:val="003D23EC"/>
    <w:rsid w:val="003D3351"/>
    <w:rsid w:val="003E7BE4"/>
    <w:rsid w:val="004077E9"/>
    <w:rsid w:val="004101E9"/>
    <w:rsid w:val="00412BC3"/>
    <w:rsid w:val="00417937"/>
    <w:rsid w:val="0043386B"/>
    <w:rsid w:val="00487F01"/>
    <w:rsid w:val="0049652E"/>
    <w:rsid w:val="004B067A"/>
    <w:rsid w:val="004E06EE"/>
    <w:rsid w:val="005201E6"/>
    <w:rsid w:val="005348DA"/>
    <w:rsid w:val="00536B6E"/>
    <w:rsid w:val="00540561"/>
    <w:rsid w:val="005438E6"/>
    <w:rsid w:val="005543A4"/>
    <w:rsid w:val="005546B4"/>
    <w:rsid w:val="005638EF"/>
    <w:rsid w:val="005677FE"/>
    <w:rsid w:val="00570D43"/>
    <w:rsid w:val="005732C0"/>
    <w:rsid w:val="00592E88"/>
    <w:rsid w:val="0059748A"/>
    <w:rsid w:val="005C3A7C"/>
    <w:rsid w:val="005E3268"/>
    <w:rsid w:val="005E781A"/>
    <w:rsid w:val="005F34AA"/>
    <w:rsid w:val="005F4203"/>
    <w:rsid w:val="006163D3"/>
    <w:rsid w:val="006223EE"/>
    <w:rsid w:val="00626CA1"/>
    <w:rsid w:val="006479C9"/>
    <w:rsid w:val="006624D1"/>
    <w:rsid w:val="0066682F"/>
    <w:rsid w:val="0068666E"/>
    <w:rsid w:val="00693481"/>
    <w:rsid w:val="00696E79"/>
    <w:rsid w:val="006B2B8F"/>
    <w:rsid w:val="006E04F8"/>
    <w:rsid w:val="006F6965"/>
    <w:rsid w:val="00713877"/>
    <w:rsid w:val="00740992"/>
    <w:rsid w:val="00755877"/>
    <w:rsid w:val="00761C3D"/>
    <w:rsid w:val="00764582"/>
    <w:rsid w:val="00785A29"/>
    <w:rsid w:val="00790F16"/>
    <w:rsid w:val="007C5BC6"/>
    <w:rsid w:val="007D12BF"/>
    <w:rsid w:val="007E4BF2"/>
    <w:rsid w:val="007F19EB"/>
    <w:rsid w:val="007F35B7"/>
    <w:rsid w:val="00824837"/>
    <w:rsid w:val="00830B60"/>
    <w:rsid w:val="0086501E"/>
    <w:rsid w:val="00874A6A"/>
    <w:rsid w:val="0087740D"/>
    <w:rsid w:val="008940C1"/>
    <w:rsid w:val="00897073"/>
    <w:rsid w:val="008B63F6"/>
    <w:rsid w:val="008C1D12"/>
    <w:rsid w:val="008C3692"/>
    <w:rsid w:val="008E4713"/>
    <w:rsid w:val="008F3DE2"/>
    <w:rsid w:val="008F6683"/>
    <w:rsid w:val="009028B7"/>
    <w:rsid w:val="009123F0"/>
    <w:rsid w:val="0092123C"/>
    <w:rsid w:val="009260E9"/>
    <w:rsid w:val="00927822"/>
    <w:rsid w:val="00956448"/>
    <w:rsid w:val="009947C3"/>
    <w:rsid w:val="009D0444"/>
    <w:rsid w:val="009D690F"/>
    <w:rsid w:val="009E2116"/>
    <w:rsid w:val="009F56CE"/>
    <w:rsid w:val="009F6F6A"/>
    <w:rsid w:val="00A351BC"/>
    <w:rsid w:val="00A451B4"/>
    <w:rsid w:val="00A52AB5"/>
    <w:rsid w:val="00A7349D"/>
    <w:rsid w:val="00A80211"/>
    <w:rsid w:val="00A854F1"/>
    <w:rsid w:val="00AA12DB"/>
    <w:rsid w:val="00AA2F49"/>
    <w:rsid w:val="00AB1823"/>
    <w:rsid w:val="00AC2F77"/>
    <w:rsid w:val="00AC42ED"/>
    <w:rsid w:val="00AC43F7"/>
    <w:rsid w:val="00AC467C"/>
    <w:rsid w:val="00AD75F6"/>
    <w:rsid w:val="00AD7956"/>
    <w:rsid w:val="00B031F5"/>
    <w:rsid w:val="00B06F21"/>
    <w:rsid w:val="00B30E2F"/>
    <w:rsid w:val="00B56F38"/>
    <w:rsid w:val="00B80CF1"/>
    <w:rsid w:val="00BA6D71"/>
    <w:rsid w:val="00BB325B"/>
    <w:rsid w:val="00BC7492"/>
    <w:rsid w:val="00BD49EC"/>
    <w:rsid w:val="00BD7A5F"/>
    <w:rsid w:val="00BE511F"/>
    <w:rsid w:val="00BE5B4B"/>
    <w:rsid w:val="00BF79D2"/>
    <w:rsid w:val="00C20E05"/>
    <w:rsid w:val="00C2144C"/>
    <w:rsid w:val="00C214C0"/>
    <w:rsid w:val="00C27CF4"/>
    <w:rsid w:val="00C35425"/>
    <w:rsid w:val="00C43CA1"/>
    <w:rsid w:val="00C72B44"/>
    <w:rsid w:val="00C731B6"/>
    <w:rsid w:val="00C95CAD"/>
    <w:rsid w:val="00CC0302"/>
    <w:rsid w:val="00CC086C"/>
    <w:rsid w:val="00CC3010"/>
    <w:rsid w:val="00CC64BD"/>
    <w:rsid w:val="00CC6929"/>
    <w:rsid w:val="00CC75F4"/>
    <w:rsid w:val="00CD6A24"/>
    <w:rsid w:val="00CD7F78"/>
    <w:rsid w:val="00CF6AC6"/>
    <w:rsid w:val="00D22B73"/>
    <w:rsid w:val="00D2677A"/>
    <w:rsid w:val="00D455F5"/>
    <w:rsid w:val="00D56F1D"/>
    <w:rsid w:val="00D73A19"/>
    <w:rsid w:val="00D81E2E"/>
    <w:rsid w:val="00D918FE"/>
    <w:rsid w:val="00D972C4"/>
    <w:rsid w:val="00DC3757"/>
    <w:rsid w:val="00DD3CF4"/>
    <w:rsid w:val="00E021D6"/>
    <w:rsid w:val="00E1071F"/>
    <w:rsid w:val="00E204DA"/>
    <w:rsid w:val="00E22F9D"/>
    <w:rsid w:val="00E41238"/>
    <w:rsid w:val="00E66782"/>
    <w:rsid w:val="00E77CEB"/>
    <w:rsid w:val="00E84E83"/>
    <w:rsid w:val="00EA7171"/>
    <w:rsid w:val="00EC2CC3"/>
    <w:rsid w:val="00F020B5"/>
    <w:rsid w:val="00F078FC"/>
    <w:rsid w:val="00F35638"/>
    <w:rsid w:val="00F36C99"/>
    <w:rsid w:val="00F44CB7"/>
    <w:rsid w:val="00F5338E"/>
    <w:rsid w:val="00F54591"/>
    <w:rsid w:val="00F66A3F"/>
    <w:rsid w:val="00FA7C83"/>
    <w:rsid w:val="00FB4CFA"/>
    <w:rsid w:val="00FB54BB"/>
    <w:rsid w:val="00FB6A77"/>
    <w:rsid w:val="00FB6E09"/>
    <w:rsid w:val="00FD02B0"/>
    <w:rsid w:val="00FD51FA"/>
    <w:rsid w:val="00FE1614"/>
    <w:rsid w:val="00FE5C55"/>
    <w:rsid w:val="00FF5F59"/>
    <w:rsid w:val="00FF629E"/>
    <w:rsid w:val="03376AA0"/>
    <w:rsid w:val="09ECC316"/>
    <w:rsid w:val="0AFBD535"/>
    <w:rsid w:val="103F02A4"/>
    <w:rsid w:val="1508928E"/>
    <w:rsid w:val="1A7AEDF9"/>
    <w:rsid w:val="272130AA"/>
    <w:rsid w:val="2AC6CDE2"/>
    <w:rsid w:val="2D26E371"/>
    <w:rsid w:val="314C769D"/>
    <w:rsid w:val="445B9FEC"/>
    <w:rsid w:val="44959E38"/>
    <w:rsid w:val="458316D3"/>
    <w:rsid w:val="48DEAA42"/>
    <w:rsid w:val="4B7541F2"/>
    <w:rsid w:val="505501CB"/>
    <w:rsid w:val="50830570"/>
    <w:rsid w:val="51C8A769"/>
    <w:rsid w:val="6143CD24"/>
    <w:rsid w:val="65496D05"/>
    <w:rsid w:val="70AB0E05"/>
    <w:rsid w:val="72813E44"/>
    <w:rsid w:val="7E9F90B2"/>
    <w:rsid w:val="7E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B671"/>
  <w15:docId w15:val="{7C27FF28-067B-40F2-9EFF-3EAFEAA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2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96"/>
    <w:pPr>
      <w:ind w:left="720"/>
      <w:contextualSpacing/>
    </w:pPr>
  </w:style>
  <w:style w:type="table" w:styleId="TableGrid">
    <w:name w:val="Table Grid"/>
    <w:basedOn w:val="TableNormal"/>
    <w:uiPriority w:val="59"/>
    <w:rsid w:val="00CC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44"/>
  </w:style>
  <w:style w:type="paragraph" w:styleId="Footer">
    <w:name w:val="footer"/>
    <w:basedOn w:val="Normal"/>
    <w:link w:val="Foot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44"/>
  </w:style>
  <w:style w:type="character" w:styleId="Hyperlink">
    <w:name w:val="Hyperlink"/>
    <w:basedOn w:val="DefaultParagraphFont"/>
    <w:uiPriority w:val="99"/>
    <w:unhideWhenUsed/>
    <w:rsid w:val="00EC2C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87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7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D73A19"/>
  </w:style>
  <w:style w:type="character" w:customStyle="1" w:styleId="eop">
    <w:name w:val="eop"/>
    <w:basedOn w:val="DefaultParagraphFont"/>
    <w:rsid w:val="00D73A19"/>
  </w:style>
  <w:style w:type="character" w:customStyle="1" w:styleId="Heading2Char">
    <w:name w:val="Heading 2 Char"/>
    <w:basedOn w:val="DefaultParagraphFont"/>
    <w:link w:val="Heading2"/>
    <w:uiPriority w:val="9"/>
    <w:rsid w:val="00D73A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uiPriority w:val="1"/>
    <w:rsid w:val="50830570"/>
    <w:pPr>
      <w:spacing w:after="0" w:line="240" w:lineRule="auto"/>
    </w:pPr>
    <w:rPr>
      <w:rFonts w:eastAsia="Times New Roman"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8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formation-services.ed.ac.uk/computing/comms-and-collab/elm/generative-ai-guidance-for-students/using-generati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ggie\Downloads\SPS%20SSL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area xmlns="9461d476-f210-4080-b35c-dfde507691f8" xsi:nil="true"/>
    <Notes xmlns="9461d476-f210-4080-b35c-dfde507691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E958D8F308D428CC8CA9B888BDCF0" ma:contentTypeVersion="8" ma:contentTypeDescription="Create a new document." ma:contentTypeScope="" ma:versionID="923950825ea4acc8245c31f1c5464630">
  <xsd:schema xmlns:xsd="http://www.w3.org/2001/XMLSchema" xmlns:xs="http://www.w3.org/2001/XMLSchema" xmlns:p="http://schemas.microsoft.com/office/2006/metadata/properties" xmlns:ns2="9461d476-f210-4080-b35c-dfde507691f8" xmlns:ns3="78254363-a52b-4881-858b-9b32a4a84a5b" targetNamespace="http://schemas.microsoft.com/office/2006/metadata/properties" ma:root="true" ma:fieldsID="3c41b260476641bb219d628b3db58015" ns2:_="" ns3:_="">
    <xsd:import namespace="9461d476-f210-4080-b35c-dfde507691f8"/>
    <xsd:import namespace="78254363-a52b-4881-858b-9b32a4a84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bjectare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d476-f210-4080-b35c-dfde50769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jectarea" ma:index="10" nillable="true" ma:displayName="Subject area" ma:format="Dropdown" ma:internalName="Subjectarea">
      <xsd:simpleType>
        <xsd:restriction base="dms:Choice">
          <xsd:enumeration value="CAS"/>
          <xsd:enumeration value="PGT School"/>
          <xsd:enumeration value="PIR"/>
          <xsd:enumeration value="SocAnth"/>
          <xsd:enumeration value="Sociology"/>
          <xsd:enumeration value="SocPol"/>
          <xsd:enumeration value="SocWork"/>
          <xsd:enumeration value="STIS"/>
          <xsd:enumeration value="SusDev"/>
          <xsd:enumeration value="UG school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4363-a52b-4881-858b-9b32a4a8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8A2F3-5AC5-44EC-8B54-B77429722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570C-6650-443B-B9E1-F13E8AB87AB5}">
  <ds:schemaRefs>
    <ds:schemaRef ds:uri="http://schemas.microsoft.com/office/2006/metadata/properties"/>
    <ds:schemaRef ds:uri="http://schemas.microsoft.com/office/infopath/2007/PartnerControls"/>
    <ds:schemaRef ds:uri="9461d476-f210-4080-b35c-dfde507691f8"/>
  </ds:schemaRefs>
</ds:datastoreItem>
</file>

<file path=customXml/itemProps3.xml><?xml version="1.0" encoding="utf-8"?>
<ds:datastoreItem xmlns:ds="http://schemas.openxmlformats.org/officeDocument/2006/customXml" ds:itemID="{8919C8BC-E17F-4A27-8883-8B2752984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1d476-f210-4080-b35c-dfde507691f8"/>
    <ds:schemaRef ds:uri="78254363-a52b-4881-858b-9b32a4a84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 SSLC agenda template</Template>
  <TotalTime>1</TotalTime>
  <Pages>3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Claire Moggie</cp:lastModifiedBy>
  <cp:revision>2</cp:revision>
  <cp:lastPrinted>2014-04-06T10:08:00Z</cp:lastPrinted>
  <dcterms:created xsi:type="dcterms:W3CDTF">2026-03-31T07:43:00Z</dcterms:created>
  <dcterms:modified xsi:type="dcterms:W3CDTF">2026-03-31T07:43:00Z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0x01010068FE958D8F308D428CC8CA9B888BDCF0</vt:lpwstr>
  </property>
</Properties>
</file>